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eastAsia"/>
          <w:b/>
          <w:bCs/>
          <w:sz w:val="32"/>
          <w:szCs w:val="40"/>
        </w:rPr>
        <w:t>广东农信数据中心机房信息工程监理招标补充通知（3）</w:t>
      </w:r>
    </w:p>
    <w:p>
      <w:pPr>
        <w:spacing w:line="360" w:lineRule="auto"/>
        <w:ind w:firstLine="480" w:firstLineChars="200"/>
        <w:rPr>
          <w:rFonts w:ascii="宋体" w:hAnsi="宋体" w:eastAsia="宋体" w:cs="宋体"/>
          <w:color w:val="000000"/>
          <w:kern w:val="0"/>
          <w:sz w:val="24"/>
        </w:rPr>
      </w:pPr>
    </w:p>
    <w:p>
      <w:pPr>
        <w:spacing w:line="360" w:lineRule="auto"/>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参照执行《佛山市南海区公共资源交易管理委员会办公室 佛山市公共资源交易中心南海分中心关于有序恢复公共资源交易活动有关事项的通知》（南资管</w:t>
      </w:r>
      <w:r>
        <w:rPr>
          <w:rFonts w:hint="eastAsia" w:ascii="宋体" w:hAnsi="宋体" w:eastAsia="宋体" w:cs="宋体"/>
          <w:color w:val="000000"/>
          <w:kern w:val="0"/>
          <w:sz w:val="24"/>
          <w:lang w:val="zh-CN"/>
        </w:rPr>
        <w:t>办〔</w:t>
      </w:r>
      <w:r>
        <w:rPr>
          <w:rFonts w:hint="eastAsia" w:ascii="宋体" w:hAnsi="宋体" w:eastAsia="宋体" w:cs="宋体"/>
          <w:color w:val="000000"/>
          <w:kern w:val="0"/>
          <w:sz w:val="24"/>
        </w:rPr>
        <w:t>2020〕1号），本项目恢复招标投标活动，具体安排如下：</w:t>
      </w:r>
    </w:p>
    <w:p>
      <w:pPr>
        <w:spacing w:line="360" w:lineRule="auto"/>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1、招标文件中关于投标文件递交方式、出席开标会要求及递交投标文件的人员身份证明文件要求修改如下：</w:t>
      </w:r>
    </w:p>
    <w:p>
      <w:pPr>
        <w:pStyle w:val="4"/>
        <w:spacing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1）提倡非本地（佛山市内）的投标人委托本地（佛山市内）的分支机构、办事处的人员或本地的其他人员为授权委托人，纸质投标文件可通过邮寄的方式寄给授权委托人。获授权的委托人须凭以下文件递交投标文件：①法定代理人证明书、②授权委托书、③授权代理人身份证原件及复印件、④授权代理人的健康证明原件（格式详见附件1）。未提交以上全部资料的，招标人将不予接收其投标文件。</w:t>
      </w:r>
    </w:p>
    <w:p>
      <w:pPr>
        <w:pStyle w:val="4"/>
        <w:spacing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（2）投标人的授权代理人须佩戴口罩；未佩戴口罩的，招标人将不予接收其投标文件。</w:t>
      </w:r>
    </w:p>
    <w:p>
      <w:pPr>
        <w:pStyle w:val="4"/>
        <w:spacing w:line="360" w:lineRule="auto"/>
        <w:ind w:firstLine="48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rPr>
        <w:t>（3）取消投标人授权代理人现场参加开标会议环节，投标人代表递交投标</w:t>
      </w:r>
      <w:r>
        <w:rPr>
          <w:rFonts w:hint="eastAsia" w:ascii="宋体" w:hAnsi="宋体" w:eastAsia="宋体" w:cs="宋体"/>
          <w:color w:val="000000"/>
          <w:kern w:val="0"/>
          <w:sz w:val="24"/>
          <w:szCs w:val="24"/>
          <w:highlight w:val="none"/>
        </w:rPr>
        <w:t>文件后即可离场。</w:t>
      </w:r>
      <w:r>
        <w:rPr>
          <w:rFonts w:hint="eastAsia" w:asciiTheme="minorEastAsia" w:hAnsiTheme="minorEastAsia" w:eastAsiaTheme="minorEastAsia" w:cstheme="minorEastAsia"/>
          <w:color w:val="auto"/>
          <w:sz w:val="24"/>
          <w:highlight w:val="none"/>
          <w:lang w:val="en-US" w:eastAsia="zh-CN"/>
        </w:rPr>
        <w:t>招标文件中涉及开标会议上投标人代表的身份验证、检查投标文件密封性、签名确认开标结果的程序均取消。</w:t>
      </w:r>
    </w:p>
    <w:p>
      <w:pPr>
        <w:pStyle w:val="4"/>
        <w:spacing w:line="360" w:lineRule="auto"/>
        <w:ind w:firstLine="480"/>
        <w:rPr>
          <w:rFonts w:hAnsi="宋体"/>
          <w:b/>
          <w:bCs/>
          <w:sz w:val="24"/>
          <w:highlight w:val="none"/>
        </w:rPr>
      </w:pPr>
      <w:r>
        <w:rPr>
          <w:rFonts w:hint="eastAsia" w:ascii="宋体" w:hAnsi="宋体" w:eastAsia="宋体" w:cs="宋体"/>
          <w:color w:val="000000"/>
          <w:kern w:val="0"/>
          <w:sz w:val="24"/>
          <w:szCs w:val="24"/>
          <w:highlight w:val="none"/>
        </w:rPr>
        <w:t>2、“</w:t>
      </w:r>
      <w:r>
        <w:rPr>
          <w:rFonts w:hint="eastAsia" w:hAnsi="宋体"/>
          <w:sz w:val="24"/>
          <w:highlight w:val="none"/>
        </w:rPr>
        <w:t>投标保证金到账截止时间：</w:t>
      </w:r>
      <w:r>
        <w:rPr>
          <w:rFonts w:hint="eastAsia" w:hAnsi="宋体"/>
          <w:sz w:val="24"/>
          <w:highlight w:val="none"/>
          <w:u w:val="single"/>
        </w:rPr>
        <w:t xml:space="preserve">2020 </w:t>
      </w:r>
      <w:r>
        <w:rPr>
          <w:rFonts w:hint="eastAsia" w:hAnsi="宋体"/>
          <w:sz w:val="24"/>
          <w:highlight w:val="none"/>
        </w:rPr>
        <w:t>年</w:t>
      </w:r>
      <w:r>
        <w:rPr>
          <w:rFonts w:hint="eastAsia" w:hAnsi="宋体"/>
          <w:sz w:val="24"/>
          <w:highlight w:val="none"/>
          <w:u w:val="single"/>
        </w:rPr>
        <w:t>2</w:t>
      </w:r>
      <w:r>
        <w:rPr>
          <w:rFonts w:hint="eastAsia" w:hAnsi="宋体"/>
          <w:sz w:val="24"/>
          <w:highlight w:val="none"/>
        </w:rPr>
        <w:t>月</w:t>
      </w:r>
      <w:r>
        <w:rPr>
          <w:rFonts w:hint="eastAsia" w:hAnsi="宋体"/>
          <w:sz w:val="24"/>
          <w:highlight w:val="none"/>
          <w:u w:val="single"/>
        </w:rPr>
        <w:t>5</w:t>
      </w:r>
      <w:r>
        <w:rPr>
          <w:rFonts w:hint="eastAsia" w:hAnsi="宋体"/>
          <w:sz w:val="24"/>
          <w:highlight w:val="none"/>
        </w:rPr>
        <w:t>日24：00前（北京时间）”</w:t>
      </w:r>
      <w:r>
        <w:rPr>
          <w:rFonts w:hint="eastAsia" w:hAnsi="宋体"/>
          <w:b/>
          <w:bCs/>
          <w:sz w:val="24"/>
          <w:highlight w:val="none"/>
        </w:rPr>
        <w:t>修改为“投标保证金到账截止时间：</w:t>
      </w:r>
      <w:r>
        <w:rPr>
          <w:rFonts w:hint="eastAsia" w:hAnsi="宋体"/>
          <w:b/>
          <w:bCs/>
          <w:sz w:val="24"/>
          <w:highlight w:val="none"/>
          <w:u w:val="single"/>
        </w:rPr>
        <w:t xml:space="preserve">2020 年3月 </w:t>
      </w:r>
      <w:r>
        <w:rPr>
          <w:rFonts w:hAnsi="宋体"/>
          <w:b/>
          <w:bCs/>
          <w:sz w:val="24"/>
          <w:highlight w:val="none"/>
          <w:u w:val="single"/>
        </w:rPr>
        <w:t>20</w:t>
      </w:r>
      <w:r>
        <w:rPr>
          <w:rFonts w:hint="eastAsia" w:hAnsi="宋体"/>
          <w:b/>
          <w:bCs/>
          <w:sz w:val="24"/>
          <w:highlight w:val="none"/>
          <w:u w:val="single"/>
        </w:rPr>
        <w:t>日24：00前</w:t>
      </w:r>
      <w:r>
        <w:rPr>
          <w:rFonts w:hint="eastAsia" w:hAnsi="宋体"/>
          <w:b/>
          <w:bCs/>
          <w:sz w:val="24"/>
          <w:highlight w:val="none"/>
        </w:rPr>
        <w:t>（北京时间）”。</w:t>
      </w:r>
    </w:p>
    <w:p>
      <w:pPr>
        <w:spacing w:line="440" w:lineRule="exact"/>
        <w:ind w:firstLine="480" w:firstLineChars="200"/>
        <w:rPr>
          <w:rFonts w:hAnsi="宋体" w:cs="仿宋_GB2312"/>
          <w:b/>
          <w:bCs/>
          <w:color w:val="000000"/>
          <w:sz w:val="24"/>
          <w:highlight w:val="none"/>
        </w:rPr>
      </w:pPr>
      <w:r>
        <w:rPr>
          <w:rFonts w:hint="eastAsia" w:hAnsi="宋体"/>
          <w:sz w:val="24"/>
          <w:highlight w:val="none"/>
        </w:rPr>
        <w:t>3、“</w:t>
      </w:r>
      <w:r>
        <w:rPr>
          <w:rFonts w:hint="eastAsia" w:hAnsi="宋体" w:cs="仿宋_GB2312"/>
          <w:color w:val="000000"/>
          <w:sz w:val="24"/>
          <w:highlight w:val="none"/>
        </w:rPr>
        <w:t>投标文件递交的截止时间(投标截止时间)：投标文件递交的起始时间：2020年2月10日9时00分，截止时间：2020年2月10日9时30分。开标时间：2020年2月10日9时30分。”</w:t>
      </w:r>
      <w:r>
        <w:rPr>
          <w:rFonts w:hint="eastAsia" w:hAnsi="宋体" w:cs="仿宋_GB2312"/>
          <w:b/>
          <w:bCs/>
          <w:color w:val="000000"/>
          <w:sz w:val="24"/>
          <w:highlight w:val="none"/>
        </w:rPr>
        <w:t>修改为“ 投标文件递交的截止时间(投标截止时间)：投标文件递交的起始时间：</w:t>
      </w:r>
      <w:r>
        <w:rPr>
          <w:rFonts w:hint="eastAsia" w:hAnsi="宋体" w:cs="仿宋_GB2312"/>
          <w:b/>
          <w:bCs/>
          <w:color w:val="000000"/>
          <w:sz w:val="24"/>
          <w:highlight w:val="none"/>
          <w:u w:val="single"/>
        </w:rPr>
        <w:t>2020年3月</w:t>
      </w:r>
      <w:r>
        <w:rPr>
          <w:rFonts w:hAnsi="宋体" w:cs="仿宋_GB2312"/>
          <w:b/>
          <w:bCs/>
          <w:color w:val="000000"/>
          <w:sz w:val="24"/>
          <w:highlight w:val="none"/>
          <w:u w:val="single"/>
        </w:rPr>
        <w:t>25</w:t>
      </w:r>
      <w:r>
        <w:rPr>
          <w:rFonts w:hint="eastAsia" w:hAnsi="宋体" w:cs="仿宋_GB2312"/>
          <w:b/>
          <w:bCs/>
          <w:color w:val="000000"/>
          <w:sz w:val="24"/>
          <w:highlight w:val="none"/>
          <w:u w:val="single"/>
        </w:rPr>
        <w:t xml:space="preserve">日9时00分，截止时间：2020年3月 </w:t>
      </w:r>
      <w:r>
        <w:rPr>
          <w:rFonts w:hAnsi="宋体" w:cs="仿宋_GB2312"/>
          <w:b/>
          <w:bCs/>
          <w:color w:val="000000"/>
          <w:sz w:val="24"/>
          <w:highlight w:val="none"/>
          <w:u w:val="single"/>
        </w:rPr>
        <w:t>25</w:t>
      </w:r>
      <w:r>
        <w:rPr>
          <w:rFonts w:hint="eastAsia" w:hAnsi="宋体" w:cs="仿宋_GB2312"/>
          <w:b/>
          <w:bCs/>
          <w:color w:val="000000"/>
          <w:sz w:val="24"/>
          <w:highlight w:val="none"/>
          <w:u w:val="single"/>
        </w:rPr>
        <w:t>日9时30分。开标时间：2020年3月</w:t>
      </w:r>
      <w:r>
        <w:rPr>
          <w:rFonts w:hAnsi="宋体" w:cs="仿宋_GB2312"/>
          <w:b/>
          <w:bCs/>
          <w:color w:val="000000"/>
          <w:sz w:val="24"/>
          <w:highlight w:val="none"/>
          <w:u w:val="single"/>
        </w:rPr>
        <w:t>25</w:t>
      </w:r>
      <w:r>
        <w:rPr>
          <w:rFonts w:hint="eastAsia" w:hAnsi="宋体" w:cs="仿宋_GB2312"/>
          <w:b/>
          <w:bCs/>
          <w:color w:val="000000"/>
          <w:sz w:val="24"/>
          <w:highlight w:val="none"/>
          <w:u w:val="single"/>
        </w:rPr>
        <w:t>日9时30分。”。</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宋体" w:hAnsi="宋体" w:eastAsia="宋体" w:cs="宋体"/>
          <w:color w:val="000000"/>
          <w:kern w:val="0"/>
          <w:sz w:val="24"/>
          <w:highlight w:val="none"/>
          <w:lang w:val="en-US" w:eastAsia="zh-CN"/>
        </w:rPr>
        <w:t>4、投标人须知前附表中投标文件的密封包盖章要求删除，</w:t>
      </w:r>
      <w:r>
        <w:rPr>
          <w:rFonts w:hint="eastAsia" w:asciiTheme="minorEastAsia" w:hAnsiTheme="minorEastAsia" w:eastAsiaTheme="minorEastAsia" w:cstheme="minorEastAsia"/>
          <w:color w:val="auto"/>
          <w:sz w:val="24"/>
          <w:highlight w:val="none"/>
          <w:lang w:val="en-US" w:eastAsia="zh-CN"/>
        </w:rPr>
        <w:t>投标人保证投标文件密封完好即可。</w:t>
      </w:r>
    </w:p>
    <w:p>
      <w:pPr>
        <w:spacing w:line="360" w:lineRule="auto"/>
        <w:ind w:firstLine="480" w:firstLineChars="200"/>
        <w:rPr>
          <w:rFonts w:ascii="宋体" w:hAnsi="宋体" w:eastAsia="宋体" w:cs="宋体"/>
          <w:color w:val="000000"/>
          <w:kern w:val="0"/>
          <w:sz w:val="24"/>
        </w:rPr>
      </w:pPr>
      <w:r>
        <w:rPr>
          <w:rFonts w:hint="eastAsia" w:ascii="宋体" w:hAnsi="宋体" w:eastAsia="宋体" w:cs="宋体"/>
          <w:color w:val="000000"/>
          <w:kern w:val="0"/>
          <w:sz w:val="24"/>
          <w:highlight w:val="none"/>
        </w:rPr>
        <w:t>本文件为广东农信数据中心机房信息工程监理招标的补充说明，与本项目的</w:t>
      </w:r>
      <w:r>
        <w:rPr>
          <w:rFonts w:hint="eastAsia" w:ascii="宋体" w:hAnsi="宋体" w:eastAsia="宋体" w:cs="宋体"/>
          <w:color w:val="000000"/>
          <w:kern w:val="0"/>
          <w:sz w:val="24"/>
        </w:rPr>
        <w:t>招标文件对投标单位具有同等的约束作用，修改涉及的内容相应修改，原招标文件与本文件有矛盾的地方，以本文件为准。</w:t>
      </w:r>
      <w:bookmarkStart w:id="0" w:name="_GoBack"/>
      <w:bookmarkEnd w:id="0"/>
    </w:p>
    <w:p>
      <w:pPr>
        <w:pStyle w:val="4"/>
        <w:spacing w:line="360" w:lineRule="auto"/>
        <w:ind w:firstLine="480"/>
        <w:rPr>
          <w:rFonts w:hAnsi="宋体" w:cs="宋体"/>
          <w:sz w:val="24"/>
        </w:rPr>
      </w:pPr>
      <w:r>
        <w:rPr>
          <w:rFonts w:hAnsi="宋体" w:cs="宋体"/>
          <w:sz w:val="24"/>
        </w:rPr>
        <w:t>招 标 人：广东省农村信用社联合社</w:t>
      </w:r>
    </w:p>
    <w:p>
      <w:pPr>
        <w:pStyle w:val="4"/>
        <w:spacing w:line="360" w:lineRule="auto"/>
        <w:ind w:firstLine="480"/>
        <w:rPr>
          <w:rFonts w:hAnsi="宋体" w:cs="宋体"/>
          <w:sz w:val="24"/>
        </w:rPr>
      </w:pPr>
      <w:r>
        <w:rPr>
          <w:rFonts w:hAnsi="宋体" w:cs="宋体"/>
          <w:sz w:val="24"/>
        </w:rPr>
        <w:t>招标代理机构：广东宏正工程咨询有限公司</w:t>
      </w:r>
    </w:p>
    <w:p>
      <w:pPr>
        <w:pStyle w:val="4"/>
        <w:spacing w:line="360" w:lineRule="auto"/>
        <w:ind w:firstLine="480"/>
        <w:rPr>
          <w:rFonts w:hAnsi="宋体" w:cs="宋体"/>
          <w:sz w:val="24"/>
        </w:rPr>
      </w:pPr>
      <w:r>
        <w:rPr>
          <w:rFonts w:hint="eastAsia" w:hAnsi="宋体" w:cs="宋体"/>
          <w:sz w:val="24"/>
        </w:rPr>
        <w:t>2020年2月</w:t>
      </w:r>
      <w:r>
        <w:rPr>
          <w:rFonts w:hint="eastAsia" w:hAnsi="宋体" w:cs="宋体"/>
          <w:sz w:val="24"/>
          <w:lang w:val="en-US" w:eastAsia="zh-CN"/>
        </w:rPr>
        <w:t>19</w:t>
      </w:r>
      <w:r>
        <w:rPr>
          <w:rFonts w:hint="eastAsia" w:hAnsi="宋体" w:cs="宋体"/>
          <w:sz w:val="24"/>
        </w:rPr>
        <w:t>日</w:t>
      </w:r>
    </w:p>
    <w:p>
      <w:pPr>
        <w:pStyle w:val="4"/>
        <w:spacing w:line="360" w:lineRule="auto"/>
        <w:ind w:firstLine="480"/>
        <w:rPr>
          <w:rFonts w:hAnsi="宋体" w:cs="宋体"/>
          <w:sz w:val="24"/>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hint="eastAsia" w:ascii="仿宋_GB2312" w:hAnsi="仿宋_GB2312" w:eastAsia="仿宋_GB2312" w:cs="黑体"/>
          <w:b w:val="0"/>
          <w:color w:val="FF0000"/>
          <w:kern w:val="2"/>
          <w:sz w:val="32"/>
          <w:szCs w:val="32"/>
        </w:rPr>
      </w:pPr>
    </w:p>
    <w:p>
      <w:pPr>
        <w:pStyle w:val="11"/>
        <w:widowControl w:val="0"/>
        <w:spacing w:beforeAutospacing="0" w:afterAutospacing="0" w:line="560" w:lineRule="exact"/>
        <w:jc w:val="both"/>
        <w:rPr>
          <w:rFonts w:ascii="仿宋_GB2312" w:hAnsi="仿宋_GB2312" w:eastAsia="仿宋_GB2312" w:cs="黑体"/>
          <w:b w:val="0"/>
          <w:color w:val="FF0000"/>
          <w:kern w:val="2"/>
          <w:sz w:val="32"/>
          <w:szCs w:val="32"/>
        </w:rPr>
      </w:pPr>
      <w:r>
        <w:rPr>
          <w:rFonts w:hint="eastAsia" w:ascii="仿宋_GB2312" w:hAnsi="仿宋_GB2312" w:eastAsia="仿宋_GB2312" w:cs="黑体"/>
          <w:b w:val="0"/>
          <w:color w:val="FF0000"/>
          <w:kern w:val="2"/>
          <w:sz w:val="32"/>
          <w:szCs w:val="32"/>
        </w:rPr>
        <w:t>附件1</w:t>
      </w:r>
    </w:p>
    <w:p>
      <w:pPr>
        <w:jc w:val="center"/>
        <w:rPr>
          <w:rFonts w:ascii="方正小标宋简体" w:hAnsi="方正小标宋简体" w:eastAsia="方正小标宋简体" w:cs="仿宋_GB2312"/>
          <w:sz w:val="44"/>
          <w:szCs w:val="32"/>
        </w:rPr>
      </w:pPr>
      <w:r>
        <w:rPr>
          <w:rFonts w:hint="eastAsia" w:ascii="方正小标宋简体" w:hAnsi="方正小标宋简体" w:eastAsia="方正小标宋简体" w:cs="仿宋_GB2312"/>
          <w:sz w:val="44"/>
          <w:szCs w:val="32"/>
        </w:rPr>
        <w:t>疫情防控期间交易主体人员进场健康证明</w:t>
      </w:r>
    </w:p>
    <w:p>
      <w:pPr>
        <w:jc w:val="center"/>
        <w:rPr>
          <w:rFonts w:ascii="仿宋_GB2312" w:hAnsi="仿宋_GB2312" w:cs="仿宋_GB2312"/>
          <w:sz w:val="30"/>
          <w:szCs w:val="30"/>
        </w:rPr>
      </w:pPr>
      <w:r>
        <w:rPr>
          <w:rFonts w:hint="eastAsia" w:ascii="仿宋_GB2312" w:hAnsi="仿宋_GB2312" w:cs="仿宋_GB2312"/>
          <w:sz w:val="30"/>
          <w:szCs w:val="30"/>
        </w:rPr>
        <w:t>（样式）</w:t>
      </w:r>
    </w:p>
    <w:p>
      <w:pPr>
        <w:jc w:val="center"/>
        <w:rPr>
          <w:rFonts w:ascii="仿宋_GB2312" w:hAnsi="仿宋_GB2312" w:cs="仿宋_GB2312"/>
          <w:sz w:val="30"/>
          <w:szCs w:val="30"/>
        </w:rPr>
      </w:pPr>
    </w:p>
    <w:p>
      <w:pPr>
        <w:ind w:firstLine="640"/>
        <w:jc w:val="left"/>
        <w:rPr>
          <w:rFonts w:ascii="仿宋_GB2312" w:hAnsi="仿宋_GB2312" w:cs="仿宋_GB2312"/>
          <w:sz w:val="30"/>
          <w:szCs w:val="30"/>
        </w:rPr>
      </w:pPr>
      <w:r>
        <w:rPr>
          <w:rFonts w:hint="eastAsia" w:ascii="仿宋_GB2312" w:hAnsi="仿宋_GB2312" w:cs="仿宋_GB2312"/>
          <w:sz w:val="30"/>
          <w:szCs w:val="30"/>
        </w:rPr>
        <w:t>兹证明我单位员工</w:t>
      </w:r>
      <w:r>
        <w:rPr>
          <w:rFonts w:hint="eastAsia" w:ascii="仿宋_GB2312" w:hAnsi="仿宋_GB2312" w:cs="仿宋_GB2312"/>
          <w:sz w:val="30"/>
          <w:szCs w:val="30"/>
          <w:u w:val="single"/>
        </w:rPr>
        <w:t xml:space="preserve">       （身份证号：                 </w:t>
      </w:r>
      <w:r>
        <w:rPr>
          <w:rFonts w:hint="eastAsia" w:ascii="仿宋_GB2312" w:hAnsi="仿宋_GB2312" w:cs="仿宋_GB2312"/>
          <w:sz w:val="30"/>
          <w:szCs w:val="30"/>
        </w:rPr>
        <w:t>，联系电话：</w:t>
      </w:r>
      <w:r>
        <w:rPr>
          <w:rFonts w:hint="eastAsia" w:ascii="仿宋_GB2312" w:hAnsi="仿宋_GB2312" w:cs="仿宋_GB2312"/>
          <w:sz w:val="30"/>
          <w:szCs w:val="30"/>
          <w:u w:val="single"/>
        </w:rPr>
        <w:t xml:space="preserve">            ）</w:t>
      </w:r>
      <w:r>
        <w:rPr>
          <w:rFonts w:hint="eastAsia" w:ascii="仿宋_GB2312" w:hAnsi="仿宋_GB2312" w:cs="仿宋_GB2312"/>
          <w:sz w:val="30"/>
          <w:szCs w:val="30"/>
        </w:rPr>
        <w:t>，到</w:t>
      </w:r>
      <w:r>
        <w:rPr>
          <w:rFonts w:hint="eastAsia" w:ascii="仿宋_GB2312" w:hAnsi="仿宋_GB2312" w:cs="仿宋_GB2312"/>
          <w:sz w:val="30"/>
          <w:szCs w:val="30"/>
          <w:lang w:eastAsia="zh-CN"/>
        </w:rPr>
        <w:t>广东宏正工程咨询有限公司</w:t>
      </w:r>
      <w:r>
        <w:rPr>
          <w:rFonts w:hint="eastAsia" w:ascii="仿宋_GB2312" w:hAnsi="仿宋_GB2312" w:cs="仿宋_GB2312"/>
          <w:sz w:val="30"/>
          <w:szCs w:val="30"/>
        </w:rPr>
        <w:t>参与</w:t>
      </w:r>
      <w:r>
        <w:rPr>
          <w:rFonts w:hint="eastAsia" w:ascii="仿宋_GB2312" w:hAnsi="仿宋_GB2312" w:cs="仿宋_GB2312"/>
          <w:sz w:val="30"/>
          <w:szCs w:val="30"/>
          <w:u w:val="single"/>
        </w:rPr>
        <w:t>广东农信数据中心机房信息工程监理</w:t>
      </w:r>
      <w:r>
        <w:rPr>
          <w:rFonts w:hint="eastAsia" w:ascii="仿宋_GB2312" w:hAnsi="仿宋_GB2312" w:cs="仿宋_GB2312"/>
          <w:sz w:val="30"/>
          <w:szCs w:val="30"/>
          <w:u w:val="single"/>
          <w:lang w:eastAsia="zh-CN"/>
        </w:rPr>
        <w:t>项目开标</w:t>
      </w:r>
      <w:r>
        <w:rPr>
          <w:rFonts w:hint="eastAsia" w:ascii="仿宋_GB2312" w:hAnsi="仿宋_GB2312" w:cs="仿宋_GB2312"/>
          <w:sz w:val="30"/>
          <w:szCs w:val="30"/>
        </w:rPr>
        <w:t>。该员工无发热、咳嗽、气促等身体不适，近14天内未有新型冠状病毒感染的肺炎疫情重疫区或较重疫区的旅行史，未有与发热、咳嗽等疑似病人接触史。</w:t>
      </w:r>
    </w:p>
    <w:p>
      <w:pPr>
        <w:ind w:firstLine="640"/>
        <w:rPr>
          <w:rFonts w:ascii="仿宋_GB2312" w:hAnsi="仿宋_GB2312" w:cs="仿宋_GB2312"/>
          <w:sz w:val="30"/>
          <w:szCs w:val="30"/>
        </w:rPr>
      </w:pPr>
      <w:r>
        <w:rPr>
          <w:rFonts w:hint="eastAsia" w:ascii="仿宋_GB2312" w:hAnsi="仿宋_GB2312" w:cs="仿宋_GB2312"/>
          <w:sz w:val="30"/>
          <w:szCs w:val="30"/>
        </w:rPr>
        <w:t>特此证明。</w:t>
      </w:r>
    </w:p>
    <w:p>
      <w:pPr>
        <w:ind w:firstLine="640"/>
        <w:rPr>
          <w:rFonts w:ascii="仿宋_GB2312" w:hAnsi="仿宋_GB2312" w:cs="仿宋_GB2312"/>
          <w:sz w:val="30"/>
          <w:szCs w:val="30"/>
        </w:rPr>
      </w:pPr>
    </w:p>
    <w:p>
      <w:pPr>
        <w:ind w:firstLine="640"/>
        <w:rPr>
          <w:rFonts w:ascii="仿宋_GB2312" w:hAnsi="仿宋_GB2312" w:cs="仿宋_GB2312"/>
          <w:sz w:val="30"/>
          <w:szCs w:val="30"/>
        </w:rPr>
      </w:pPr>
    </w:p>
    <w:p>
      <w:pPr>
        <w:ind w:firstLine="640"/>
        <w:rPr>
          <w:rFonts w:ascii="仿宋_GB2312" w:hAnsi="仿宋_GB2312" w:cs="仿宋_GB2312"/>
          <w:sz w:val="30"/>
          <w:szCs w:val="30"/>
        </w:rPr>
      </w:pPr>
    </w:p>
    <w:p>
      <w:pPr>
        <w:ind w:firstLine="640"/>
        <w:jc w:val="center"/>
        <w:rPr>
          <w:rFonts w:ascii="仿宋_GB2312" w:hAnsi="仿宋_GB2312" w:cs="仿宋_GB2312"/>
          <w:sz w:val="30"/>
          <w:szCs w:val="30"/>
        </w:rPr>
      </w:pPr>
      <w:r>
        <w:rPr>
          <w:rFonts w:hint="eastAsia" w:ascii="仿宋_GB2312" w:hAnsi="仿宋_GB2312" w:cs="仿宋_GB2312"/>
          <w:sz w:val="30"/>
          <w:szCs w:val="30"/>
        </w:rPr>
        <w:t xml:space="preserve">                        XXXXXXXXXXXX单位（公章）</w:t>
      </w:r>
    </w:p>
    <w:p>
      <w:pPr>
        <w:ind w:firstLine="640"/>
        <w:jc w:val="center"/>
        <w:rPr>
          <w:sz w:val="30"/>
          <w:szCs w:val="30"/>
        </w:rPr>
      </w:pPr>
      <w:r>
        <w:rPr>
          <w:rFonts w:hint="eastAsia" w:ascii="仿宋_GB2312" w:hAnsi="仿宋_GB2312" w:cs="仿宋_GB2312"/>
          <w:sz w:val="30"/>
          <w:szCs w:val="30"/>
        </w:rPr>
        <w:t xml:space="preserve">                         2020年  月  日</w:t>
      </w:r>
    </w:p>
    <w:p/>
    <w:p>
      <w:pPr>
        <w:pStyle w:val="4"/>
        <w:spacing w:line="360" w:lineRule="auto"/>
        <w:ind w:firstLine="480"/>
        <w:rPr>
          <w:rFonts w:hAnsi="宋体" w:cs="宋体"/>
          <w:sz w:val="24"/>
        </w:rPr>
      </w:pPr>
    </w:p>
    <w:p>
      <w:pPr>
        <w:jc w:val="center"/>
        <w:rPr>
          <w:b/>
          <w:bCs/>
          <w:sz w:val="32"/>
          <w:szCs w:val="40"/>
        </w:rPr>
      </w:pP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961BA7"/>
    <w:rsid w:val="00424F49"/>
    <w:rsid w:val="006F3E48"/>
    <w:rsid w:val="009E202A"/>
    <w:rsid w:val="00CB7BED"/>
    <w:rsid w:val="00DA6437"/>
    <w:rsid w:val="00F32387"/>
    <w:rsid w:val="019356DB"/>
    <w:rsid w:val="02163638"/>
    <w:rsid w:val="079D3706"/>
    <w:rsid w:val="0A6F06C6"/>
    <w:rsid w:val="0D577FF3"/>
    <w:rsid w:val="0E2061DD"/>
    <w:rsid w:val="1772552B"/>
    <w:rsid w:val="1B670F59"/>
    <w:rsid w:val="1CC65B42"/>
    <w:rsid w:val="1EFB0BA7"/>
    <w:rsid w:val="20C277A4"/>
    <w:rsid w:val="25000517"/>
    <w:rsid w:val="2D4271EB"/>
    <w:rsid w:val="2FDF062D"/>
    <w:rsid w:val="318377DC"/>
    <w:rsid w:val="32961BA7"/>
    <w:rsid w:val="35386518"/>
    <w:rsid w:val="3738007B"/>
    <w:rsid w:val="39A90A80"/>
    <w:rsid w:val="3BE706C9"/>
    <w:rsid w:val="409E31C7"/>
    <w:rsid w:val="4C075847"/>
    <w:rsid w:val="4C700881"/>
    <w:rsid w:val="4EA26C3F"/>
    <w:rsid w:val="52665188"/>
    <w:rsid w:val="57240254"/>
    <w:rsid w:val="59D228E2"/>
    <w:rsid w:val="5ACD2085"/>
    <w:rsid w:val="610671C9"/>
    <w:rsid w:val="61070827"/>
    <w:rsid w:val="66B22BA9"/>
    <w:rsid w:val="6C897AB2"/>
    <w:rsid w:val="6DCF690A"/>
    <w:rsid w:val="6DF47B06"/>
    <w:rsid w:val="6ED71F4D"/>
    <w:rsid w:val="7049419B"/>
    <w:rsid w:val="751C772F"/>
    <w:rsid w:val="7548665C"/>
    <w:rsid w:val="78FE0C47"/>
    <w:rsid w:val="7C970DE8"/>
    <w:rsid w:val="7D4660FE"/>
    <w:rsid w:val="7E96278D"/>
    <w:rsid w:val="7EF11857"/>
    <w:rsid w:val="7F6C3D94"/>
    <w:rsid w:val="7F9F0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3"/>
    <w:basedOn w:val="1"/>
    <w:next w:val="1"/>
    <w:qFormat/>
    <w:uiPriority w:val="0"/>
    <w:pPr>
      <w:keepNext/>
      <w:keepLines/>
      <w:spacing w:before="260" w:after="260" w:line="416" w:lineRule="auto"/>
      <w:outlineLvl w:val="2"/>
    </w:pPr>
    <w:rPr>
      <w:rFonts w:ascii="Times New Roman"/>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2"/>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xl43"/>
    <w:basedOn w:val="12"/>
    <w:qFormat/>
    <w:uiPriority w:val="0"/>
    <w:pPr>
      <w:widowControl/>
      <w:spacing w:beforeAutospacing="1" w:afterAutospacing="1"/>
      <w:jc w:val="center"/>
    </w:pPr>
    <w:rPr>
      <w:b/>
      <w:bCs/>
      <w:kern w:val="0"/>
      <w:sz w:val="44"/>
      <w:szCs w:val="44"/>
    </w:rPr>
  </w:style>
  <w:style w:type="paragraph" w:customStyle="1" w:styleId="12">
    <w:name w:val="正文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页眉 字符"/>
    <w:basedOn w:val="9"/>
    <w:link w:val="6"/>
    <w:uiPriority w:val="0"/>
    <w:rPr>
      <w:rFonts w:asciiTheme="minorHAnsi" w:hAnsiTheme="minorHAnsi" w:eastAsiaTheme="minorEastAsia" w:cstheme="minorBidi"/>
      <w:kern w:val="2"/>
      <w:sz w:val="18"/>
      <w:szCs w:val="18"/>
    </w:rPr>
  </w:style>
  <w:style w:type="character" w:customStyle="1" w:styleId="14">
    <w:name w:val="页脚 字符"/>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184</Words>
  <Characters>1050</Characters>
  <Lines>8</Lines>
  <Paragraphs>2</Paragraphs>
  <TotalTime>4</TotalTime>
  <ScaleCrop>false</ScaleCrop>
  <LinksUpToDate>false</LinksUpToDate>
  <CharactersWithSpaces>1232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2020-02-16T06:09:00Z</dcterms:created>
  <dc:creator>ASUS</dc:creator>
  <cp:lastModifiedBy>NTKO</cp:lastModifiedBy>
  <dcterms:modified xsi:type="dcterms:W3CDTF">2020-02-19T07:22:13Z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