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786E9">
      <w:pPr>
        <w:tabs>
          <w:tab w:val="center" w:pos="4467"/>
          <w:tab w:val="right" w:pos="9000"/>
        </w:tabs>
        <w:wordWrap w:val="0"/>
        <w:adjustRightInd w:val="0"/>
        <w:snapToGrid w:val="0"/>
        <w:spacing w:line="36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drawing>
          <wp:inline distT="0" distB="0" distL="114300" distR="114300">
            <wp:extent cx="1203960" cy="1261110"/>
            <wp:effectExtent l="0" t="0" r="15240" b="15240"/>
            <wp:docPr id="5" name="图片 1" descr="宏正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宏正商标"/>
                    <pic:cNvPicPr>
                      <a:picLocks noChangeAspect="1"/>
                    </pic:cNvPicPr>
                  </pic:nvPicPr>
                  <pic:blipFill>
                    <a:blip r:embed="rId21"/>
                    <a:stretch>
                      <a:fillRect/>
                    </a:stretch>
                  </pic:blipFill>
                  <pic:spPr>
                    <a:xfrm>
                      <a:off x="0" y="0"/>
                      <a:ext cx="1203960" cy="1261110"/>
                    </a:xfrm>
                    <a:prstGeom prst="rect">
                      <a:avLst/>
                    </a:prstGeom>
                    <a:noFill/>
                    <a:ln>
                      <a:noFill/>
                    </a:ln>
                  </pic:spPr>
                </pic:pic>
              </a:graphicData>
            </a:graphic>
          </wp:inline>
        </w:drawing>
      </w:r>
    </w:p>
    <w:p w14:paraId="5E069766">
      <w:pPr>
        <w:wordWrap w:val="0"/>
        <w:adjustRightInd w:val="0"/>
        <w:snapToGrid w:val="0"/>
        <w:spacing w:line="360" w:lineRule="auto"/>
        <w:ind w:left="-2" w:leftChars="-1" w:firstLine="1"/>
        <w:jc w:val="center"/>
        <w:rPr>
          <w:rFonts w:hint="eastAsia" w:ascii="仿宋" w:hAnsi="仿宋" w:eastAsia="仿宋" w:cs="仿宋"/>
          <w:b/>
          <w:color w:val="auto"/>
          <w:sz w:val="52"/>
          <w:szCs w:val="52"/>
          <w:highlight w:val="none"/>
        </w:rPr>
      </w:pPr>
    </w:p>
    <w:p w14:paraId="509BB41E">
      <w:pPr>
        <w:wordWrap w:val="0"/>
        <w:adjustRightInd w:val="0"/>
        <w:snapToGrid w:val="0"/>
        <w:spacing w:line="360" w:lineRule="auto"/>
        <w:ind w:left="-2" w:leftChars="-1" w:firstLine="1"/>
        <w:jc w:val="center"/>
        <w:rPr>
          <w:rFonts w:hint="eastAsia" w:ascii="仿宋" w:hAnsi="仿宋" w:eastAsia="仿宋" w:cs="仿宋"/>
          <w:b/>
          <w:color w:val="auto"/>
          <w:sz w:val="56"/>
          <w:szCs w:val="52"/>
          <w:highlight w:val="none"/>
          <w:lang w:eastAsia="zh-CN"/>
        </w:rPr>
      </w:pPr>
      <w:r>
        <w:rPr>
          <w:rFonts w:hint="eastAsia" w:ascii="仿宋" w:hAnsi="仿宋" w:eastAsia="仿宋" w:cs="仿宋"/>
          <w:b/>
          <w:color w:val="auto"/>
          <w:sz w:val="56"/>
          <w:szCs w:val="52"/>
          <w:highlight w:val="none"/>
          <w:lang w:eastAsia="zh-CN"/>
        </w:rPr>
        <w:t>采购文件</w:t>
      </w:r>
    </w:p>
    <w:p w14:paraId="56151D3E">
      <w:pPr>
        <w:wordWrap w:val="0"/>
        <w:adjustRightInd w:val="0"/>
        <w:snapToGrid w:val="0"/>
        <w:spacing w:line="360" w:lineRule="auto"/>
        <w:jc w:val="center"/>
        <w:rPr>
          <w:rFonts w:hint="default" w:ascii="仿宋" w:hAnsi="仿宋" w:eastAsia="仿宋" w:cs="仿宋"/>
          <w:b/>
          <w:color w:val="auto"/>
          <w:sz w:val="28"/>
          <w:highlight w:val="none"/>
          <w:lang w:val="en-US" w:eastAsia="zh-CN"/>
        </w:rPr>
      </w:pPr>
      <w:r>
        <w:rPr>
          <w:rFonts w:hint="eastAsia" w:ascii="仿宋" w:hAnsi="仿宋" w:eastAsia="仿宋" w:cs="仿宋"/>
          <w:b/>
          <w:color w:val="auto"/>
          <w:sz w:val="28"/>
          <w:highlight w:val="none"/>
          <w:lang w:val="en-US" w:eastAsia="zh-CN"/>
        </w:rPr>
        <w:t>(意见征求稿）</w:t>
      </w:r>
    </w:p>
    <w:p w14:paraId="2097AAA5">
      <w:pPr>
        <w:wordWrap w:val="0"/>
        <w:adjustRightInd w:val="0"/>
        <w:snapToGrid w:val="0"/>
        <w:spacing w:line="360" w:lineRule="auto"/>
        <w:rPr>
          <w:rFonts w:hint="eastAsia" w:ascii="仿宋" w:hAnsi="仿宋" w:eastAsia="仿宋" w:cs="仿宋"/>
          <w:b/>
          <w:color w:val="auto"/>
          <w:sz w:val="28"/>
          <w:highlight w:val="none"/>
        </w:rPr>
      </w:pPr>
    </w:p>
    <w:p w14:paraId="460CADBA">
      <w:pPr>
        <w:wordWrap w:val="0"/>
        <w:adjustRightInd w:val="0"/>
        <w:snapToGrid w:val="0"/>
        <w:rPr>
          <w:rFonts w:hint="eastAsia" w:ascii="仿宋" w:hAnsi="仿宋" w:eastAsia="仿宋" w:cs="仿宋"/>
          <w:color w:val="auto"/>
          <w:highlight w:val="none"/>
        </w:rPr>
      </w:pPr>
    </w:p>
    <w:p w14:paraId="55AD2E14">
      <w:pPr>
        <w:wordWrap w:val="0"/>
        <w:adjustRightInd w:val="0"/>
        <w:snapToGrid w:val="0"/>
        <w:spacing w:line="360" w:lineRule="auto"/>
        <w:rPr>
          <w:rFonts w:hint="eastAsia" w:ascii="仿宋" w:hAnsi="仿宋" w:eastAsia="仿宋" w:cs="仿宋"/>
          <w:b/>
          <w:color w:val="auto"/>
          <w:sz w:val="28"/>
          <w:highlight w:val="none"/>
        </w:rPr>
      </w:pPr>
    </w:p>
    <w:p w14:paraId="2ACD138E">
      <w:pPr>
        <w:wordWrap w:val="0"/>
        <w:adjustRightInd w:val="0"/>
        <w:snapToGrid w:val="0"/>
        <w:spacing w:line="360" w:lineRule="auto"/>
        <w:rPr>
          <w:rFonts w:hint="eastAsia" w:ascii="仿宋" w:hAnsi="仿宋" w:eastAsia="仿宋" w:cs="仿宋"/>
          <w:b/>
          <w:bCs/>
          <w:color w:val="auto"/>
          <w:sz w:val="28"/>
          <w:szCs w:val="28"/>
          <w:highlight w:val="none"/>
        </w:rPr>
      </w:pPr>
    </w:p>
    <w:p w14:paraId="4EEEFD11">
      <w:pPr>
        <w:wordWrap w:val="0"/>
        <w:adjustRightInd w:val="0"/>
        <w:snapToGrid w:val="0"/>
        <w:spacing w:line="360" w:lineRule="auto"/>
        <w:ind w:firstLine="1105" w:firstLineChars="393"/>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项目编号：</w:t>
      </w:r>
      <w:r>
        <w:rPr>
          <w:rFonts w:hint="eastAsia" w:ascii="仿宋" w:hAnsi="仿宋" w:eastAsia="仿宋" w:cs="仿宋"/>
          <w:b/>
          <w:bCs/>
          <w:color w:val="auto"/>
          <w:sz w:val="28"/>
          <w:szCs w:val="28"/>
          <w:highlight w:val="none"/>
          <w:lang w:eastAsia="zh-CN"/>
        </w:rPr>
        <w:t xml:space="preserve">JG       </w:t>
      </w:r>
    </w:p>
    <w:p w14:paraId="07B72B88">
      <w:pPr>
        <w:wordWrap w:val="0"/>
        <w:adjustRightInd w:val="0"/>
        <w:snapToGrid w:val="0"/>
        <w:spacing w:line="360" w:lineRule="auto"/>
        <w:ind w:firstLine="1105" w:firstLineChars="393"/>
        <w:rPr>
          <w:rFonts w:hint="eastAsia" w:ascii="仿宋" w:hAnsi="仿宋" w:eastAsia="仿宋" w:cs="仿宋"/>
          <w:b/>
          <w:bCs/>
          <w:color w:val="auto"/>
          <w:sz w:val="28"/>
          <w:szCs w:val="28"/>
          <w:highlight w:val="none"/>
        </w:rPr>
      </w:pPr>
    </w:p>
    <w:p w14:paraId="4289C8A3">
      <w:pPr>
        <w:wordWrap w:val="0"/>
        <w:adjustRightInd w:val="0"/>
        <w:snapToGrid w:val="0"/>
        <w:spacing w:line="360" w:lineRule="auto"/>
        <w:ind w:left="2525" w:leftChars="517" w:hanging="1439" w:hangingChars="51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项目名称：</w:t>
      </w:r>
      <w:r>
        <w:rPr>
          <w:rFonts w:hint="eastAsia" w:ascii="仿宋" w:hAnsi="仿宋" w:eastAsia="仿宋" w:cs="仿宋"/>
          <w:b/>
          <w:bCs/>
          <w:color w:val="auto"/>
          <w:sz w:val="28"/>
          <w:szCs w:val="28"/>
          <w:highlight w:val="none"/>
          <w:lang w:eastAsia="zh-CN"/>
        </w:rPr>
        <w:t>桂城街道叠北社区市政管理一体化服务</w:t>
      </w:r>
    </w:p>
    <w:p w14:paraId="104593DB">
      <w:pPr>
        <w:wordWrap w:val="0"/>
        <w:adjustRightInd w:val="0"/>
        <w:snapToGrid w:val="0"/>
        <w:spacing w:line="360" w:lineRule="auto"/>
        <w:ind w:left="3043" w:leftChars="525" w:hanging="1940" w:hangingChars="690"/>
        <w:rPr>
          <w:rFonts w:hint="eastAsia" w:ascii="仿宋" w:hAnsi="仿宋" w:eastAsia="仿宋" w:cs="仿宋"/>
          <w:b/>
          <w:bCs/>
          <w:color w:val="auto"/>
          <w:sz w:val="28"/>
          <w:szCs w:val="28"/>
          <w:highlight w:val="none"/>
        </w:rPr>
      </w:pPr>
    </w:p>
    <w:p w14:paraId="2286BBAC">
      <w:pPr>
        <w:wordWrap w:val="0"/>
        <w:adjustRightInd w:val="0"/>
        <w:snapToGrid w:val="0"/>
        <w:spacing w:line="360" w:lineRule="auto"/>
        <w:ind w:left="3043" w:leftChars="525" w:hanging="1940" w:hangingChars="69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采购方式</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公开招标</w:t>
      </w:r>
    </w:p>
    <w:p w14:paraId="2CECCD76">
      <w:pPr>
        <w:wordWrap w:val="0"/>
        <w:adjustRightInd w:val="0"/>
        <w:snapToGrid w:val="0"/>
        <w:spacing w:line="360" w:lineRule="auto"/>
        <w:ind w:left="3043" w:leftChars="525" w:hanging="1940" w:hangingChars="69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DOCVARIABLE  项目名称  \* MERGEFORMAT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fldChar w:fldCharType="end"/>
      </w:r>
    </w:p>
    <w:p w14:paraId="100E570E">
      <w:pPr>
        <w:pStyle w:val="12"/>
        <w:wordWrap w:val="0"/>
        <w:adjustRightInd w:val="0"/>
        <w:snapToGrid w:val="0"/>
        <w:spacing w:line="360" w:lineRule="auto"/>
        <w:ind w:firstLine="1105" w:firstLineChars="393"/>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采购人</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佛山市南海区桂城街叠北社区居民委员会</w:t>
      </w:r>
    </w:p>
    <w:p w14:paraId="296264F7">
      <w:pPr>
        <w:pStyle w:val="12"/>
        <w:wordWrap w:val="0"/>
        <w:adjustRightInd w:val="0"/>
        <w:snapToGrid w:val="0"/>
        <w:spacing w:line="360" w:lineRule="auto"/>
        <w:ind w:firstLine="1105" w:firstLineChars="393"/>
        <w:rPr>
          <w:rFonts w:hint="eastAsia" w:ascii="仿宋" w:hAnsi="仿宋" w:eastAsia="仿宋" w:cs="仿宋"/>
          <w:b/>
          <w:bCs/>
          <w:color w:val="auto"/>
          <w:sz w:val="28"/>
          <w:szCs w:val="28"/>
          <w:highlight w:val="none"/>
          <w:lang w:eastAsia="zh-CN"/>
        </w:rPr>
      </w:pPr>
    </w:p>
    <w:p w14:paraId="3D2B5705">
      <w:pPr>
        <w:pStyle w:val="12"/>
        <w:wordWrap w:val="0"/>
        <w:adjustRightInd w:val="0"/>
        <w:snapToGrid w:val="0"/>
        <w:spacing w:line="360" w:lineRule="auto"/>
        <w:ind w:firstLine="1105" w:firstLineChars="393"/>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代理机构</w:t>
      </w:r>
      <w:r>
        <w:rPr>
          <w:rFonts w:hint="eastAsia" w:ascii="仿宋" w:hAnsi="仿宋" w:eastAsia="仿宋" w:cs="仿宋"/>
          <w:b/>
          <w:bCs/>
          <w:color w:val="auto"/>
          <w:sz w:val="28"/>
          <w:szCs w:val="28"/>
          <w:highlight w:val="none"/>
        </w:rPr>
        <w:t>：广东宏正工程咨询有限公司</w:t>
      </w:r>
    </w:p>
    <w:p w14:paraId="4132C0AF">
      <w:pPr>
        <w:wordWrap w:val="0"/>
        <w:adjustRightInd w:val="0"/>
        <w:snapToGrid w:val="0"/>
        <w:spacing w:line="360" w:lineRule="auto"/>
        <w:rPr>
          <w:rFonts w:hint="eastAsia" w:ascii="仿宋" w:hAnsi="仿宋" w:eastAsia="仿宋" w:cs="仿宋"/>
          <w:b/>
          <w:color w:val="auto"/>
          <w:highlight w:val="none"/>
        </w:rPr>
      </w:pPr>
    </w:p>
    <w:p w14:paraId="32255260">
      <w:pPr>
        <w:pStyle w:val="12"/>
        <w:wordWrap w:val="0"/>
        <w:adjustRightInd w:val="0"/>
        <w:snapToGrid w:val="0"/>
        <w:spacing w:line="360" w:lineRule="auto"/>
        <w:ind w:firstLine="1105" w:firstLineChars="393"/>
        <w:rPr>
          <w:rFonts w:hint="eastAsia" w:ascii="仿宋" w:hAnsi="仿宋" w:eastAsia="仿宋" w:cs="仿宋"/>
          <w:b/>
          <w:bCs/>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469" w:bottom="1440" w:left="1440" w:header="851" w:footer="992" w:gutter="0"/>
          <w:pgNumType w:fmt="decimal" w:start="1"/>
          <w:cols w:space="720" w:num="1"/>
          <w:titlePg/>
          <w:docGrid w:linePitch="462" w:charSpace="0"/>
        </w:sectPr>
      </w:pPr>
      <w:r>
        <w:rPr>
          <w:rFonts w:hint="eastAsia" w:ascii="仿宋" w:hAnsi="仿宋" w:eastAsia="仿宋" w:cs="仿宋"/>
          <w:b/>
          <w:bCs/>
          <w:color w:val="auto"/>
          <w:sz w:val="28"/>
          <w:szCs w:val="28"/>
          <w:highlight w:val="none"/>
        </w:rPr>
        <w:t>日       期：2025年</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日</w:t>
      </w:r>
    </w:p>
    <w:p w14:paraId="5F2D4844">
      <w:pPr>
        <w:wordWrap w:val="0"/>
        <w:adjustRightInd w:val="0"/>
        <w:snapToGrid w:val="0"/>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目  录</w:t>
      </w:r>
    </w:p>
    <w:p w14:paraId="260B7061">
      <w:pPr>
        <w:wordWrap w:val="0"/>
        <w:adjustRightInd w:val="0"/>
        <w:snapToGrid w:val="0"/>
        <w:rPr>
          <w:rFonts w:hint="eastAsia" w:ascii="仿宋" w:hAnsi="仿宋" w:eastAsia="仿宋" w:cs="仿宋"/>
          <w:b/>
          <w:bCs/>
          <w:color w:val="auto"/>
          <w:highlight w:val="none"/>
        </w:rPr>
      </w:pPr>
    </w:p>
    <w:p w14:paraId="705522D1">
      <w:pPr>
        <w:pStyle w:val="17"/>
        <w:tabs>
          <w:tab w:val="right" w:leader="dot" w:pos="8998"/>
        </w:tabs>
        <w:rPr>
          <w:b/>
          <w:bCs/>
          <w:color w:val="auto"/>
          <w:sz w:val="28"/>
          <w:szCs w:val="28"/>
          <w:highlight w:val="none"/>
        </w:rPr>
      </w:pPr>
      <w:r>
        <w:rPr>
          <w:rFonts w:hint="eastAsia" w:ascii="仿宋" w:hAnsi="仿宋" w:eastAsia="仿宋" w:cs="仿宋"/>
          <w:b/>
          <w:bCs/>
          <w:color w:val="auto"/>
          <w:sz w:val="27"/>
          <w:highlight w:val="none"/>
        </w:rPr>
        <w:fldChar w:fldCharType="begin"/>
      </w:r>
      <w:r>
        <w:rPr>
          <w:rFonts w:hint="eastAsia" w:ascii="仿宋" w:hAnsi="仿宋" w:eastAsia="仿宋" w:cs="仿宋"/>
          <w:b/>
          <w:bCs/>
          <w:color w:val="auto"/>
          <w:sz w:val="27"/>
          <w:highlight w:val="none"/>
        </w:rPr>
        <w:instrText xml:space="preserve">TOC \o "1-1" \h \u </w:instrText>
      </w:r>
      <w:r>
        <w:rPr>
          <w:rFonts w:hint="eastAsia" w:ascii="仿宋" w:hAnsi="仿宋" w:eastAsia="仿宋" w:cs="仿宋"/>
          <w:b/>
          <w:bCs/>
          <w:color w:val="auto"/>
          <w:sz w:val="27"/>
          <w:highlight w:val="none"/>
        </w:rPr>
        <w:fldChar w:fldCharType="separate"/>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_Toc4764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 xml:space="preserve">第一部分 </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lang w:eastAsia="zh-CN"/>
        </w:rPr>
        <w:t>投标邀请函</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_Toc4764 \h </w:instrText>
      </w:r>
      <w:r>
        <w:rPr>
          <w:b/>
          <w:bCs/>
          <w:color w:val="auto"/>
          <w:sz w:val="28"/>
          <w:szCs w:val="28"/>
          <w:highlight w:val="none"/>
        </w:rPr>
        <w:fldChar w:fldCharType="separate"/>
      </w:r>
      <w:r>
        <w:rPr>
          <w:b/>
          <w:bCs/>
          <w:color w:val="auto"/>
          <w:sz w:val="28"/>
          <w:szCs w:val="28"/>
          <w:highlight w:val="none"/>
        </w:rPr>
        <w:t>3</w:t>
      </w:r>
      <w:r>
        <w:rPr>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20CE281E">
      <w:pPr>
        <w:pStyle w:val="17"/>
        <w:tabs>
          <w:tab w:val="right" w:leader="dot" w:pos="8998"/>
        </w:tabs>
        <w:rPr>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_Toc2727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第二部分　</w:t>
      </w:r>
      <w:r>
        <w:rPr>
          <w:rFonts w:hint="eastAsia" w:ascii="仿宋" w:hAnsi="仿宋" w:eastAsia="仿宋" w:cs="仿宋"/>
          <w:b/>
          <w:bCs/>
          <w:color w:val="auto"/>
          <w:sz w:val="28"/>
          <w:szCs w:val="28"/>
          <w:highlight w:val="none"/>
          <w:lang w:eastAsia="zh-CN"/>
        </w:rPr>
        <w:t>采购项目内容</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_Toc2727 \h </w:instrText>
      </w:r>
      <w:r>
        <w:rPr>
          <w:b/>
          <w:bCs/>
          <w:color w:val="auto"/>
          <w:sz w:val="28"/>
          <w:szCs w:val="28"/>
          <w:highlight w:val="none"/>
        </w:rPr>
        <w:fldChar w:fldCharType="separate"/>
      </w:r>
      <w:r>
        <w:rPr>
          <w:b/>
          <w:bCs/>
          <w:color w:val="auto"/>
          <w:sz w:val="28"/>
          <w:szCs w:val="28"/>
          <w:highlight w:val="none"/>
        </w:rPr>
        <w:t>8</w:t>
      </w:r>
      <w:r>
        <w:rPr>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09A1E67A">
      <w:pPr>
        <w:pStyle w:val="17"/>
        <w:tabs>
          <w:tab w:val="right" w:leader="dot" w:pos="8998"/>
        </w:tabs>
        <w:rPr>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_Toc8018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lang w:val="zh-CN"/>
        </w:rPr>
        <w:t>第三部分　</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须知</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_Toc8018 \h </w:instrText>
      </w:r>
      <w:r>
        <w:rPr>
          <w:b/>
          <w:bCs/>
          <w:color w:val="auto"/>
          <w:sz w:val="28"/>
          <w:szCs w:val="28"/>
          <w:highlight w:val="none"/>
        </w:rPr>
        <w:fldChar w:fldCharType="separate"/>
      </w:r>
      <w:r>
        <w:rPr>
          <w:b/>
          <w:bCs/>
          <w:color w:val="auto"/>
          <w:sz w:val="28"/>
          <w:szCs w:val="28"/>
          <w:highlight w:val="none"/>
        </w:rPr>
        <w:t>47</w:t>
      </w:r>
      <w:r>
        <w:rPr>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3D8E3E3B">
      <w:pPr>
        <w:pStyle w:val="17"/>
        <w:tabs>
          <w:tab w:val="right" w:leader="dot" w:pos="8998"/>
        </w:tabs>
        <w:rPr>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_Toc30302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第四部分　合同书格式</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_Toc30302 \h </w:instrText>
      </w:r>
      <w:r>
        <w:rPr>
          <w:b/>
          <w:bCs/>
          <w:color w:val="auto"/>
          <w:sz w:val="28"/>
          <w:szCs w:val="28"/>
          <w:highlight w:val="none"/>
        </w:rPr>
        <w:fldChar w:fldCharType="separate"/>
      </w:r>
      <w:r>
        <w:rPr>
          <w:b/>
          <w:bCs/>
          <w:color w:val="auto"/>
          <w:sz w:val="28"/>
          <w:szCs w:val="28"/>
          <w:highlight w:val="none"/>
        </w:rPr>
        <w:t>64</w:t>
      </w:r>
      <w:r>
        <w:rPr>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1DF4EBDD">
      <w:pPr>
        <w:pStyle w:val="17"/>
        <w:tabs>
          <w:tab w:val="right" w:leader="dot" w:pos="8998"/>
        </w:tabs>
        <w:rPr>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_Toc20423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第五部分　</w:t>
      </w:r>
      <w:r>
        <w:rPr>
          <w:rFonts w:hint="eastAsia" w:ascii="仿宋" w:hAnsi="仿宋" w:eastAsia="仿宋" w:cs="仿宋"/>
          <w:b/>
          <w:bCs/>
          <w:color w:val="auto"/>
          <w:sz w:val="28"/>
          <w:szCs w:val="28"/>
          <w:highlight w:val="none"/>
          <w:lang w:eastAsia="zh-CN"/>
        </w:rPr>
        <w:t>投标文件</w:t>
      </w:r>
      <w:r>
        <w:rPr>
          <w:rFonts w:hint="eastAsia" w:ascii="仿宋" w:hAnsi="仿宋" w:eastAsia="仿宋" w:cs="仿宋"/>
          <w:b/>
          <w:bCs/>
          <w:color w:val="auto"/>
          <w:sz w:val="28"/>
          <w:szCs w:val="28"/>
          <w:highlight w:val="none"/>
        </w:rPr>
        <w:t>格式</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_Toc20423 \h </w:instrText>
      </w:r>
      <w:r>
        <w:rPr>
          <w:b/>
          <w:bCs/>
          <w:color w:val="auto"/>
          <w:sz w:val="28"/>
          <w:szCs w:val="28"/>
          <w:highlight w:val="none"/>
        </w:rPr>
        <w:fldChar w:fldCharType="separate"/>
      </w:r>
      <w:r>
        <w:rPr>
          <w:b/>
          <w:bCs/>
          <w:color w:val="auto"/>
          <w:sz w:val="28"/>
          <w:szCs w:val="28"/>
          <w:highlight w:val="none"/>
        </w:rPr>
        <w:t>71</w:t>
      </w:r>
      <w:r>
        <w:rPr>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324C820E">
      <w:pPr>
        <w:pStyle w:val="17"/>
        <w:tabs>
          <w:tab w:val="right" w:leader="dot" w:pos="8998"/>
        </w:tabs>
        <w:rPr>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_Toc6944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kern w:val="0"/>
          <w:sz w:val="28"/>
          <w:szCs w:val="52"/>
          <w:highlight w:val="none"/>
        </w:rPr>
        <w:t>附件一</w:t>
      </w:r>
      <w:r>
        <w:rPr>
          <w:rFonts w:hint="eastAsia" w:ascii="仿宋" w:hAnsi="仿宋" w:eastAsia="仿宋" w:cs="仿宋"/>
          <w:b/>
          <w:bCs/>
          <w:color w:val="auto"/>
          <w:kern w:val="0"/>
          <w:sz w:val="28"/>
          <w:szCs w:val="52"/>
          <w:highlight w:val="none"/>
          <w:lang w:val="en-US" w:eastAsia="zh-CN"/>
        </w:rPr>
        <w:t xml:space="preserve">   </w:t>
      </w:r>
      <w:r>
        <w:rPr>
          <w:rFonts w:hint="eastAsia" w:ascii="仿宋" w:hAnsi="仿宋" w:eastAsia="仿宋" w:cs="仿宋"/>
          <w:b/>
          <w:bCs/>
          <w:color w:val="auto"/>
          <w:kern w:val="0"/>
          <w:sz w:val="28"/>
          <w:szCs w:val="52"/>
          <w:highlight w:val="none"/>
        </w:rPr>
        <w:t xml:space="preserve"> 评审细则</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_Toc6944 \h </w:instrText>
      </w:r>
      <w:r>
        <w:rPr>
          <w:b/>
          <w:bCs/>
          <w:color w:val="auto"/>
          <w:sz w:val="28"/>
          <w:szCs w:val="28"/>
          <w:highlight w:val="none"/>
        </w:rPr>
        <w:fldChar w:fldCharType="separate"/>
      </w:r>
      <w:r>
        <w:rPr>
          <w:b/>
          <w:bCs/>
          <w:color w:val="auto"/>
          <w:sz w:val="28"/>
          <w:szCs w:val="28"/>
          <w:highlight w:val="none"/>
        </w:rPr>
        <w:t>88</w:t>
      </w:r>
      <w:r>
        <w:rPr>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491BEF22">
      <w:pPr>
        <w:pStyle w:val="17"/>
        <w:tabs>
          <w:tab w:val="right" w:leader="dot" w:pos="8998"/>
        </w:tabs>
        <w:rPr>
          <w:b/>
          <w:bCs/>
          <w:color w:val="auto"/>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_Toc14342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kern w:val="0"/>
          <w:sz w:val="28"/>
          <w:szCs w:val="52"/>
          <w:highlight w:val="none"/>
        </w:rPr>
        <w:t xml:space="preserve">附件二  </w:t>
      </w:r>
      <w:r>
        <w:rPr>
          <w:rFonts w:hint="eastAsia" w:ascii="仿宋" w:hAnsi="仿宋" w:eastAsia="仿宋" w:cs="仿宋"/>
          <w:b/>
          <w:bCs/>
          <w:color w:val="auto"/>
          <w:kern w:val="0"/>
          <w:sz w:val="28"/>
          <w:szCs w:val="52"/>
          <w:highlight w:val="none"/>
          <w:lang w:val="en-US" w:eastAsia="zh-CN"/>
        </w:rPr>
        <w:t xml:space="preserve">  </w:t>
      </w:r>
      <w:r>
        <w:rPr>
          <w:rFonts w:hint="eastAsia" w:ascii="仿宋" w:hAnsi="仿宋" w:eastAsia="仿宋" w:cs="仿宋"/>
          <w:b/>
          <w:bCs/>
          <w:color w:val="auto"/>
          <w:kern w:val="0"/>
          <w:sz w:val="28"/>
          <w:szCs w:val="52"/>
          <w:highlight w:val="none"/>
        </w:rPr>
        <w:t>外包装封面参考格式</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_Toc14342 \h </w:instrText>
      </w:r>
      <w:r>
        <w:rPr>
          <w:b/>
          <w:bCs/>
          <w:color w:val="auto"/>
          <w:sz w:val="28"/>
          <w:szCs w:val="28"/>
          <w:highlight w:val="none"/>
        </w:rPr>
        <w:fldChar w:fldCharType="separate"/>
      </w:r>
      <w:r>
        <w:rPr>
          <w:b/>
          <w:bCs/>
          <w:color w:val="auto"/>
          <w:sz w:val="28"/>
          <w:szCs w:val="28"/>
          <w:highlight w:val="none"/>
        </w:rPr>
        <w:t>100</w:t>
      </w:r>
      <w:r>
        <w:rPr>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756F0B57">
      <w:pPr>
        <w:wordWrap w:val="0"/>
        <w:adjustRightInd w:val="0"/>
        <w:snapToGrid w:val="0"/>
        <w:spacing w:line="360" w:lineRule="auto"/>
        <w:rPr>
          <w:rFonts w:hint="eastAsia" w:ascii="仿宋" w:hAnsi="仿宋" w:eastAsia="仿宋" w:cs="仿宋"/>
          <w:b/>
          <w:color w:val="auto"/>
          <w:sz w:val="27"/>
          <w:highlight w:val="none"/>
        </w:rPr>
      </w:pPr>
      <w:r>
        <w:rPr>
          <w:rFonts w:hint="eastAsia" w:ascii="仿宋" w:hAnsi="仿宋" w:eastAsia="仿宋" w:cs="仿宋"/>
          <w:b/>
          <w:bCs/>
          <w:color w:val="auto"/>
          <w:highlight w:val="none"/>
        </w:rPr>
        <w:fldChar w:fldCharType="end"/>
      </w:r>
    </w:p>
    <w:p w14:paraId="266A2D12">
      <w:pPr>
        <w:wordWrap w:val="0"/>
        <w:adjustRightInd w:val="0"/>
        <w:snapToGrid w:val="0"/>
        <w:rPr>
          <w:rFonts w:hint="eastAsia" w:ascii="仿宋" w:hAnsi="仿宋" w:eastAsia="仿宋" w:cs="仿宋"/>
          <w:color w:val="auto"/>
          <w:highlight w:val="none"/>
        </w:rPr>
      </w:pPr>
      <w:bookmarkStart w:id="0" w:name="_Toc406136457"/>
      <w:bookmarkStart w:id="1" w:name="_Toc31419"/>
    </w:p>
    <w:p w14:paraId="3C0316B9">
      <w:pPr>
        <w:pStyle w:val="59"/>
        <w:keepNext w:val="0"/>
        <w:keepLines w:val="0"/>
        <w:wordWrap w:val="0"/>
        <w:adjustRightInd w:val="0"/>
        <w:snapToGrid w:val="0"/>
        <w:spacing w:line="480" w:lineRule="auto"/>
        <w:jc w:val="both"/>
        <w:outlineLvl w:val="9"/>
        <w:rPr>
          <w:rFonts w:hint="eastAsia" w:ascii="仿宋" w:hAnsi="仿宋" w:eastAsia="仿宋" w:cs="仿宋"/>
          <w:color w:val="auto"/>
          <w:sz w:val="28"/>
          <w:szCs w:val="28"/>
          <w:highlight w:val="none"/>
        </w:rPr>
        <w:sectPr>
          <w:headerReference r:id="rId10" w:type="first"/>
          <w:footerReference r:id="rId12" w:type="first"/>
          <w:headerReference r:id="rId9" w:type="default"/>
          <w:footerReference r:id="rId11" w:type="default"/>
          <w:pgSz w:w="11906" w:h="16838"/>
          <w:pgMar w:top="1440" w:right="1468" w:bottom="1440" w:left="1440" w:header="850" w:footer="992" w:gutter="0"/>
          <w:pgNumType w:fmt="decimal"/>
          <w:cols w:space="720" w:num="1"/>
          <w:titlePg/>
          <w:docGrid w:linePitch="462" w:charSpace="0"/>
        </w:sectPr>
      </w:pPr>
    </w:p>
    <w:p w14:paraId="46081B27">
      <w:pPr>
        <w:pStyle w:val="59"/>
        <w:keepNext w:val="0"/>
        <w:keepLines w:val="0"/>
        <w:wordWrap w:val="0"/>
        <w:adjustRightInd w:val="0"/>
        <w:snapToGrid w:val="0"/>
        <w:spacing w:line="480" w:lineRule="auto"/>
        <w:jc w:val="both"/>
        <w:outlineLvl w:val="9"/>
        <w:rPr>
          <w:rFonts w:hint="eastAsia" w:ascii="仿宋" w:hAnsi="仿宋" w:eastAsia="仿宋" w:cs="仿宋"/>
          <w:color w:val="auto"/>
          <w:sz w:val="28"/>
          <w:szCs w:val="28"/>
          <w:highlight w:val="none"/>
        </w:rPr>
      </w:pPr>
    </w:p>
    <w:p w14:paraId="6F71A167">
      <w:pPr>
        <w:pStyle w:val="59"/>
        <w:keepNext w:val="0"/>
        <w:keepLines w:val="0"/>
        <w:wordWrap w:val="0"/>
        <w:adjustRightInd w:val="0"/>
        <w:snapToGrid w:val="0"/>
        <w:spacing w:line="480" w:lineRule="auto"/>
        <w:jc w:val="both"/>
        <w:outlineLvl w:val="9"/>
        <w:rPr>
          <w:rFonts w:hint="eastAsia" w:ascii="仿宋" w:hAnsi="仿宋" w:eastAsia="仿宋" w:cs="仿宋"/>
          <w:color w:val="auto"/>
          <w:sz w:val="28"/>
          <w:szCs w:val="28"/>
          <w:highlight w:val="none"/>
        </w:rPr>
      </w:pPr>
    </w:p>
    <w:p w14:paraId="1A1672B6">
      <w:pPr>
        <w:pStyle w:val="59"/>
        <w:keepNext w:val="0"/>
        <w:keepLines w:val="0"/>
        <w:wordWrap w:val="0"/>
        <w:adjustRightInd w:val="0"/>
        <w:snapToGrid w:val="0"/>
        <w:spacing w:line="480" w:lineRule="auto"/>
        <w:jc w:val="both"/>
        <w:outlineLvl w:val="9"/>
        <w:rPr>
          <w:rFonts w:hint="eastAsia" w:ascii="仿宋" w:hAnsi="仿宋" w:eastAsia="仿宋" w:cs="仿宋"/>
          <w:color w:val="auto"/>
          <w:sz w:val="28"/>
          <w:szCs w:val="28"/>
          <w:highlight w:val="none"/>
        </w:rPr>
      </w:pPr>
    </w:p>
    <w:p w14:paraId="7F6E5C2D">
      <w:pPr>
        <w:pStyle w:val="59"/>
        <w:keepNext w:val="0"/>
        <w:keepLines w:val="0"/>
        <w:wordWrap w:val="0"/>
        <w:adjustRightInd w:val="0"/>
        <w:snapToGrid w:val="0"/>
        <w:spacing w:line="480" w:lineRule="auto"/>
        <w:jc w:val="both"/>
        <w:outlineLvl w:val="9"/>
        <w:rPr>
          <w:rFonts w:hint="eastAsia" w:ascii="仿宋" w:hAnsi="仿宋" w:eastAsia="仿宋" w:cs="仿宋"/>
          <w:color w:val="auto"/>
          <w:sz w:val="28"/>
          <w:szCs w:val="28"/>
          <w:highlight w:val="none"/>
        </w:rPr>
      </w:pPr>
    </w:p>
    <w:p w14:paraId="5BD0063A">
      <w:pPr>
        <w:wordWrap w:val="0"/>
        <w:adjustRightInd w:val="0"/>
        <w:snapToGrid w:val="0"/>
        <w:jc w:val="center"/>
        <w:outlineLvl w:val="0"/>
        <w:rPr>
          <w:rFonts w:hint="eastAsia" w:ascii="仿宋" w:hAnsi="仿宋" w:eastAsia="仿宋" w:cs="仿宋"/>
          <w:b/>
          <w:bCs/>
          <w:color w:val="auto"/>
          <w:sz w:val="44"/>
          <w:highlight w:val="none"/>
          <w:lang w:eastAsia="zh-CN"/>
        </w:rPr>
      </w:pPr>
      <w:bookmarkStart w:id="2" w:name="_Toc27089"/>
      <w:bookmarkStart w:id="3" w:name="_Toc24054"/>
      <w:bookmarkStart w:id="4" w:name="_Toc12754"/>
      <w:bookmarkStart w:id="5" w:name="_Toc10354"/>
      <w:bookmarkStart w:id="6" w:name="_Toc4764"/>
      <w:bookmarkStart w:id="7" w:name="_Toc18666"/>
      <w:bookmarkStart w:id="8" w:name="_Toc25540"/>
      <w:bookmarkStart w:id="9" w:name="_Toc15554"/>
      <w:bookmarkStart w:id="10" w:name="_Toc6982"/>
      <w:bookmarkStart w:id="11" w:name="_Toc21332"/>
      <w:bookmarkStart w:id="12" w:name="_Toc14087"/>
      <w:bookmarkStart w:id="13" w:name="_Toc9077"/>
      <w:bookmarkStart w:id="14" w:name="_Toc5998"/>
      <w:bookmarkStart w:id="15" w:name="_Toc23154"/>
      <w:r>
        <w:rPr>
          <w:rFonts w:hint="eastAsia" w:ascii="仿宋" w:hAnsi="仿宋" w:eastAsia="仿宋" w:cs="仿宋"/>
          <w:b/>
          <w:bCs/>
          <w:color w:val="auto"/>
          <w:sz w:val="44"/>
          <w:highlight w:val="none"/>
        </w:rPr>
        <w:t xml:space="preserve">第一部分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hint="eastAsia" w:ascii="仿宋" w:hAnsi="仿宋" w:eastAsia="仿宋" w:cs="仿宋"/>
          <w:b/>
          <w:bCs/>
          <w:color w:val="auto"/>
          <w:sz w:val="44"/>
          <w:highlight w:val="none"/>
          <w:lang w:eastAsia="zh-CN"/>
        </w:rPr>
        <w:t>投标邀请函</w:t>
      </w:r>
    </w:p>
    <w:p w14:paraId="39E26E24">
      <w:pPr>
        <w:keepNext w:val="0"/>
        <w:keepLines w:val="0"/>
        <w:pageBreakBefore w:val="0"/>
        <w:widowControl w:val="0"/>
        <w:kinsoku/>
        <w:wordWrap w:val="0"/>
        <w:overflowPunct/>
        <w:topLinePunct w:val="0"/>
        <w:bidi w:val="0"/>
        <w:adjustRightInd w:val="0"/>
        <w:snapToGrid w:val="0"/>
        <w:spacing w:line="360" w:lineRule="auto"/>
        <w:jc w:val="center"/>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44"/>
          <w:highlight w:val="none"/>
        </w:rPr>
        <w:br w:type="page"/>
      </w:r>
      <w:r>
        <w:rPr>
          <w:rFonts w:hint="eastAsia" w:ascii="仿宋" w:hAnsi="仿宋" w:eastAsia="仿宋" w:cs="仿宋"/>
          <w:b/>
          <w:bCs/>
          <w:color w:val="auto"/>
          <w:sz w:val="28"/>
          <w:szCs w:val="28"/>
          <w:highlight w:val="none"/>
          <w:lang w:eastAsia="zh-CN"/>
        </w:rPr>
        <w:t>桂城街道叠北社区市政管理一体化服务</w:t>
      </w:r>
    </w:p>
    <w:p w14:paraId="55F51A84">
      <w:pPr>
        <w:keepNext w:val="0"/>
        <w:keepLines w:val="0"/>
        <w:pageBreakBefore w:val="0"/>
        <w:widowControl w:val="0"/>
        <w:kinsoku/>
        <w:wordWrap w:val="0"/>
        <w:overflowPunct/>
        <w:topLinePunct w:val="0"/>
        <w:bidi w:val="0"/>
        <w:adjustRightInd w:val="0"/>
        <w:snapToGrid w:val="0"/>
        <w:spacing w:line="360" w:lineRule="auto"/>
        <w:jc w:val="center"/>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投标邀请函</w:t>
      </w:r>
    </w:p>
    <w:p w14:paraId="42E6C147">
      <w:pPr>
        <w:keepNext w:val="0"/>
        <w:keepLines w:val="0"/>
        <w:pageBreakBefore w:val="0"/>
        <w:widowControl w:val="0"/>
        <w:kinsoku/>
        <w:wordWrap w:val="0"/>
        <w:overflowPunct/>
        <w:topLinePunct w:val="0"/>
        <w:bidi w:val="0"/>
        <w:adjustRightInd w:val="0"/>
        <w:snapToGrid w:val="0"/>
        <w:spacing w:line="360" w:lineRule="auto"/>
        <w:textAlignment w:val="auto"/>
        <w:rPr>
          <w:rFonts w:hint="eastAsia" w:ascii="仿宋" w:hAnsi="仿宋" w:eastAsia="仿宋" w:cs="仿宋"/>
          <w:color w:val="auto"/>
          <w:sz w:val="24"/>
          <w:highlight w:val="none"/>
        </w:rPr>
      </w:pPr>
    </w:p>
    <w:p w14:paraId="04EA835F">
      <w:pPr>
        <w:keepNext w:val="0"/>
        <w:keepLines w:val="0"/>
        <w:pageBreakBefore w:val="0"/>
        <w:widowControl w:val="0"/>
        <w:kinsoku/>
        <w:wordWrap w:val="0"/>
        <w:overflowPunct/>
        <w:topLinePunct w:val="0"/>
        <w:bidi w:val="0"/>
        <w:spacing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一、项目基本情况</w:t>
      </w:r>
    </w:p>
    <w:p w14:paraId="1A22B1C6">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lang w:eastAsia="zh-CN"/>
        </w:rPr>
      </w:pPr>
      <w:r>
        <w:rPr>
          <w:rFonts w:hint="eastAsia" w:ascii="仿宋" w:hAnsi="仿宋" w:eastAsia="仿宋" w:cs="仿宋"/>
          <w:color w:val="auto"/>
          <w:spacing w:val="14"/>
          <w:sz w:val="24"/>
          <w:highlight w:val="none"/>
        </w:rPr>
        <w:t>项目编号：</w:t>
      </w:r>
      <w:r>
        <w:rPr>
          <w:rFonts w:hint="eastAsia" w:ascii="仿宋" w:hAnsi="仿宋" w:eastAsia="仿宋" w:cs="仿宋"/>
          <w:color w:val="auto"/>
          <w:spacing w:val="14"/>
          <w:sz w:val="24"/>
          <w:highlight w:val="none"/>
          <w:lang w:eastAsia="zh-CN"/>
        </w:rPr>
        <w:t xml:space="preserve">JG       </w:t>
      </w:r>
    </w:p>
    <w:p w14:paraId="4AAAED13">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lang w:eastAsia="zh-CN"/>
        </w:rPr>
      </w:pPr>
      <w:r>
        <w:rPr>
          <w:rFonts w:hint="eastAsia" w:ascii="仿宋" w:hAnsi="仿宋" w:eastAsia="仿宋" w:cs="仿宋"/>
          <w:color w:val="auto"/>
          <w:spacing w:val="14"/>
          <w:sz w:val="24"/>
          <w:highlight w:val="none"/>
        </w:rPr>
        <w:t>项目名称：</w:t>
      </w:r>
      <w:r>
        <w:rPr>
          <w:rFonts w:hint="eastAsia" w:ascii="仿宋" w:hAnsi="仿宋" w:eastAsia="仿宋" w:cs="仿宋"/>
          <w:color w:val="auto"/>
          <w:spacing w:val="14"/>
          <w:sz w:val="24"/>
          <w:highlight w:val="none"/>
          <w:lang w:eastAsia="zh-CN"/>
        </w:rPr>
        <w:t>桂城街道叠北社区市政管理一体化服务</w:t>
      </w:r>
    </w:p>
    <w:p w14:paraId="32DDE269">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lang w:eastAsia="zh-CN"/>
        </w:rPr>
      </w:pPr>
      <w:r>
        <w:rPr>
          <w:rFonts w:hint="eastAsia" w:ascii="仿宋" w:hAnsi="仿宋" w:eastAsia="仿宋" w:cs="仿宋"/>
          <w:color w:val="auto"/>
          <w:spacing w:val="14"/>
          <w:sz w:val="24"/>
          <w:highlight w:val="none"/>
          <w:lang w:eastAsia="zh-CN"/>
        </w:rPr>
        <w:t>采购方式</w:t>
      </w:r>
      <w:r>
        <w:rPr>
          <w:rFonts w:hint="eastAsia" w:ascii="仿宋" w:hAnsi="仿宋" w:eastAsia="仿宋" w:cs="仿宋"/>
          <w:color w:val="auto"/>
          <w:spacing w:val="14"/>
          <w:sz w:val="24"/>
          <w:highlight w:val="none"/>
        </w:rPr>
        <w:t>：</w:t>
      </w:r>
      <w:r>
        <w:rPr>
          <w:rFonts w:hint="eastAsia" w:ascii="仿宋" w:hAnsi="仿宋" w:eastAsia="仿宋" w:cs="仿宋"/>
          <w:color w:val="auto"/>
          <w:spacing w:val="14"/>
          <w:sz w:val="24"/>
          <w:highlight w:val="none"/>
          <w:lang w:eastAsia="zh-CN"/>
        </w:rPr>
        <w:t>公开招标</w:t>
      </w:r>
    </w:p>
    <w:p w14:paraId="15639E05">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lang w:val="en-US" w:eastAsia="zh-CN"/>
        </w:rPr>
      </w:pPr>
      <w:r>
        <w:rPr>
          <w:rFonts w:hint="eastAsia" w:ascii="仿宋" w:hAnsi="仿宋" w:eastAsia="仿宋" w:cs="仿宋"/>
          <w:color w:val="auto"/>
          <w:spacing w:val="14"/>
          <w:sz w:val="24"/>
          <w:highlight w:val="none"/>
          <w:lang w:eastAsia="zh-CN"/>
        </w:rPr>
        <w:t>预算金额：</w:t>
      </w:r>
      <w:r>
        <w:rPr>
          <w:rFonts w:hint="eastAsia" w:ascii="仿宋" w:hAnsi="仿宋" w:eastAsia="仿宋" w:cs="仿宋"/>
          <w:color w:val="auto"/>
          <w:spacing w:val="14"/>
          <w:sz w:val="24"/>
          <w:highlight w:val="none"/>
          <w:lang w:val="en-US" w:eastAsia="zh-CN"/>
        </w:rPr>
        <w:t>￥23,325,194.70元</w:t>
      </w:r>
    </w:p>
    <w:p w14:paraId="5F3F6EA4">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default" w:ascii="仿宋" w:hAnsi="仿宋" w:eastAsia="仿宋" w:cs="仿宋"/>
          <w:color w:val="auto"/>
          <w:spacing w:val="14"/>
          <w:sz w:val="24"/>
          <w:highlight w:val="none"/>
          <w:lang w:val="en-US" w:eastAsia="zh-CN"/>
        </w:rPr>
      </w:pPr>
      <w:r>
        <w:rPr>
          <w:rFonts w:hint="eastAsia" w:ascii="仿宋" w:hAnsi="仿宋" w:eastAsia="仿宋" w:cs="仿宋"/>
          <w:color w:val="auto"/>
          <w:spacing w:val="14"/>
          <w:sz w:val="24"/>
          <w:highlight w:val="none"/>
          <w:lang w:val="en-US" w:eastAsia="zh-CN"/>
        </w:rPr>
        <w:t>投标最高限价：￥20,759,423.30元</w:t>
      </w:r>
    </w:p>
    <w:p w14:paraId="63FFB6C2">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lang w:eastAsia="zh-CN"/>
        </w:rPr>
        <w:t>采购项目需求</w:t>
      </w:r>
      <w:r>
        <w:rPr>
          <w:rFonts w:hint="eastAsia" w:ascii="仿宋" w:hAnsi="仿宋" w:eastAsia="仿宋" w:cs="仿宋"/>
          <w:color w:val="auto"/>
          <w:spacing w:val="14"/>
          <w:sz w:val="24"/>
          <w:highlight w:val="none"/>
        </w:rPr>
        <w:t>：</w:t>
      </w:r>
    </w:p>
    <w:p w14:paraId="1503FB39">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lang w:eastAsia="zh-CN"/>
        </w:rPr>
      </w:pPr>
      <w:r>
        <w:rPr>
          <w:rFonts w:hint="eastAsia" w:ascii="仿宋" w:hAnsi="仿宋" w:eastAsia="仿宋" w:cs="仿宋"/>
          <w:color w:val="auto"/>
          <w:spacing w:val="14"/>
          <w:sz w:val="24"/>
          <w:highlight w:val="none"/>
        </w:rPr>
        <w:t>1、标的名称：</w:t>
      </w:r>
      <w:r>
        <w:rPr>
          <w:rFonts w:hint="eastAsia" w:ascii="仿宋" w:hAnsi="仿宋" w:eastAsia="仿宋" w:cs="仿宋"/>
          <w:color w:val="auto"/>
          <w:spacing w:val="14"/>
          <w:sz w:val="24"/>
          <w:highlight w:val="none"/>
          <w:lang w:eastAsia="zh-CN"/>
        </w:rPr>
        <w:t>桂城街道叠北社区市政管理一体化服务</w:t>
      </w:r>
    </w:p>
    <w:p w14:paraId="5F19B871">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2、标的数量：1项</w:t>
      </w:r>
    </w:p>
    <w:p w14:paraId="7231158A">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3、简要技术需求或服务要求：</w:t>
      </w:r>
    </w:p>
    <w:p w14:paraId="5D405213">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lang w:eastAsia="zh-CN"/>
        </w:rPr>
        <w:t>采购人拟聘请一家单位提供市政管理一体化服务，服务期为</w:t>
      </w:r>
      <w:r>
        <w:rPr>
          <w:rFonts w:hint="eastAsia" w:ascii="仿宋" w:hAnsi="仿宋" w:eastAsia="仿宋" w:cs="仿宋"/>
          <w:color w:val="auto"/>
          <w:spacing w:val="14"/>
          <w:sz w:val="24"/>
          <w:highlight w:val="none"/>
          <w:lang w:val="en-US" w:eastAsia="zh-CN"/>
        </w:rPr>
        <w:t>36个月</w:t>
      </w:r>
      <w:r>
        <w:rPr>
          <w:rFonts w:hint="eastAsia" w:ascii="仿宋" w:hAnsi="仿宋" w:eastAsia="仿宋" w:cs="仿宋"/>
          <w:color w:val="auto"/>
          <w:spacing w:val="14"/>
          <w:sz w:val="24"/>
          <w:highlight w:val="none"/>
          <w:lang w:eastAsia="zh-CN"/>
        </w:rPr>
        <w:t>。</w:t>
      </w:r>
      <w:r>
        <w:rPr>
          <w:rFonts w:hint="eastAsia" w:ascii="仿宋" w:hAnsi="仿宋" w:eastAsia="仿宋" w:cs="仿宋"/>
          <w:color w:val="auto"/>
          <w:spacing w:val="14"/>
          <w:sz w:val="24"/>
          <w:highlight w:val="none"/>
        </w:rPr>
        <w:t>具体详见《</w:t>
      </w:r>
      <w:r>
        <w:rPr>
          <w:rFonts w:hint="eastAsia" w:ascii="仿宋" w:hAnsi="仿宋" w:eastAsia="仿宋" w:cs="仿宋"/>
          <w:color w:val="auto"/>
          <w:spacing w:val="14"/>
          <w:sz w:val="24"/>
          <w:highlight w:val="none"/>
          <w:lang w:eastAsia="zh-CN"/>
        </w:rPr>
        <w:t>采购项目内容</w:t>
      </w:r>
      <w:r>
        <w:rPr>
          <w:rFonts w:hint="eastAsia" w:ascii="仿宋" w:hAnsi="仿宋" w:eastAsia="仿宋" w:cs="仿宋"/>
          <w:color w:val="auto"/>
          <w:spacing w:val="14"/>
          <w:sz w:val="24"/>
          <w:highlight w:val="none"/>
        </w:rPr>
        <w:t>》要求。</w:t>
      </w:r>
    </w:p>
    <w:p w14:paraId="10D53E49">
      <w:pPr>
        <w:keepNext w:val="0"/>
        <w:keepLines w:val="0"/>
        <w:pageBreakBefore w:val="0"/>
        <w:widowControl w:val="0"/>
        <w:kinsoku/>
        <w:wordWrap w:val="0"/>
        <w:overflowPunct/>
        <w:topLinePunct w:val="0"/>
        <w:bidi w:val="0"/>
        <w:spacing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的资格要求</w:t>
      </w:r>
    </w:p>
    <w:p w14:paraId="0AF6AE25">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1、具有独立承担民事责任的能力：在中华人民共和国境内注册的法人或其他组织或自然人，</w:t>
      </w:r>
      <w:r>
        <w:rPr>
          <w:rFonts w:hint="eastAsia" w:ascii="仿宋" w:hAnsi="仿宋" w:eastAsia="仿宋" w:cs="仿宋"/>
          <w:color w:val="auto"/>
          <w:spacing w:val="14"/>
          <w:sz w:val="24"/>
          <w:highlight w:val="none"/>
          <w:lang w:eastAsia="zh-CN"/>
        </w:rPr>
        <w:t>投标时</w:t>
      </w:r>
      <w:r>
        <w:rPr>
          <w:rFonts w:hint="eastAsia" w:ascii="仿宋" w:hAnsi="仿宋" w:eastAsia="仿宋" w:cs="仿宋"/>
          <w:color w:val="auto"/>
          <w:spacing w:val="14"/>
          <w:sz w:val="24"/>
          <w:highlight w:val="none"/>
        </w:rPr>
        <w:t>提交有效的营业执照（</w:t>
      </w:r>
      <w:r>
        <w:rPr>
          <w:rFonts w:hint="eastAsia" w:ascii="仿宋" w:hAnsi="仿宋" w:eastAsia="仿宋" w:cs="仿宋"/>
          <w:color w:val="auto"/>
          <w:spacing w:val="14"/>
          <w:sz w:val="24"/>
          <w:highlight w:val="none"/>
          <w:lang w:eastAsia="zh-CN"/>
        </w:rPr>
        <w:t>或事业法人登记证或民办非企业单位登记证书或</w:t>
      </w:r>
      <w:r>
        <w:rPr>
          <w:rFonts w:hint="eastAsia" w:ascii="仿宋" w:hAnsi="仿宋" w:eastAsia="仿宋" w:cs="仿宋"/>
          <w:color w:val="auto"/>
          <w:spacing w:val="14"/>
          <w:sz w:val="24"/>
          <w:highlight w:val="none"/>
        </w:rPr>
        <w:t>身份证等相关证明）副本复印件。</w:t>
      </w:r>
    </w:p>
    <w:p w14:paraId="1B9812EE">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2、有依法缴纳税收和社会保障资金的良好记录：提供</w:t>
      </w:r>
      <w:r>
        <w:rPr>
          <w:rFonts w:hint="eastAsia" w:ascii="仿宋" w:hAnsi="仿宋" w:eastAsia="仿宋" w:cs="仿宋"/>
          <w:color w:val="auto"/>
          <w:spacing w:val="14"/>
          <w:sz w:val="24"/>
          <w:highlight w:val="none"/>
          <w:lang w:eastAsia="zh-CN"/>
        </w:rPr>
        <w:t>提交投标文件截止日</w:t>
      </w:r>
      <w:r>
        <w:rPr>
          <w:rFonts w:hint="eastAsia" w:ascii="仿宋" w:hAnsi="仿宋" w:eastAsia="仿宋" w:cs="仿宋"/>
          <w:color w:val="auto"/>
          <w:spacing w:val="14"/>
          <w:sz w:val="24"/>
          <w:highlight w:val="none"/>
        </w:rPr>
        <w:t>前6个月内（含</w:t>
      </w:r>
      <w:r>
        <w:rPr>
          <w:rFonts w:hint="eastAsia" w:ascii="仿宋" w:hAnsi="仿宋" w:eastAsia="仿宋" w:cs="仿宋"/>
          <w:color w:val="auto"/>
          <w:spacing w:val="14"/>
          <w:sz w:val="24"/>
          <w:highlight w:val="none"/>
          <w:lang w:eastAsia="zh-CN"/>
        </w:rPr>
        <w:t>提交投标文件截止时间</w:t>
      </w:r>
      <w:r>
        <w:rPr>
          <w:rFonts w:hint="eastAsia" w:ascii="仿宋" w:hAnsi="仿宋" w:eastAsia="仿宋" w:cs="仿宋"/>
          <w:color w:val="auto"/>
          <w:spacing w:val="14"/>
          <w:sz w:val="24"/>
          <w:highlight w:val="none"/>
        </w:rPr>
        <w:t>当月）任意1个月依法缴纳税收和社会保障资金的相关材料（如依法免税或不需要缴纳社会保障资金的，提供相应证明材料）复印件，或提供承诺函（格式见附件《</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资格信用承诺函》）。</w:t>
      </w:r>
    </w:p>
    <w:p w14:paraId="4998F4A9">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3、具有良好的商业信誉和健全的财务会计制度：提供经审计的</w:t>
      </w:r>
      <w:r>
        <w:rPr>
          <w:rFonts w:hint="eastAsia" w:ascii="仿宋" w:hAnsi="仿宋" w:eastAsia="仿宋" w:cs="仿宋"/>
          <w:color w:val="auto"/>
          <w:spacing w:val="14"/>
          <w:sz w:val="24"/>
          <w:highlight w:val="none"/>
          <w:lang w:eastAsia="zh-CN"/>
        </w:rPr>
        <w:t>2024年度</w:t>
      </w:r>
      <w:r>
        <w:rPr>
          <w:rFonts w:hint="eastAsia" w:ascii="仿宋" w:hAnsi="仿宋" w:eastAsia="仿宋" w:cs="仿宋"/>
          <w:color w:val="auto"/>
          <w:spacing w:val="14"/>
          <w:sz w:val="24"/>
          <w:highlight w:val="none"/>
        </w:rPr>
        <w:t>的财务报告，或资信证明，或开户许可证，或银行开具的《基本存款账户信息》复印件，或其他相关证明资料，或提供承诺函（格式见附件《</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资格信用承诺函》）。</w:t>
      </w:r>
    </w:p>
    <w:p w14:paraId="42A74448">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4、履行合同所必需的设备和专业技术能力：具备履行合同所必需的设备和专业技术能力的证明材料，或提供承诺函（格式见附件《</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资格信用承诺函》）。</w:t>
      </w:r>
    </w:p>
    <w:p w14:paraId="0905EF70">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5、</w:t>
      </w:r>
      <w:r>
        <w:rPr>
          <w:rFonts w:hint="eastAsia" w:ascii="仿宋" w:hAnsi="仿宋" w:eastAsia="仿宋" w:cs="仿宋"/>
          <w:color w:val="auto"/>
          <w:spacing w:val="14"/>
          <w:sz w:val="24"/>
          <w:highlight w:val="none"/>
          <w:lang w:eastAsia="zh-CN"/>
        </w:rPr>
        <w:t>参加本项目采购活动前三年内</w:t>
      </w:r>
      <w:r>
        <w:rPr>
          <w:rFonts w:hint="eastAsia" w:ascii="仿宋" w:hAnsi="仿宋" w:eastAsia="仿宋" w:cs="仿宋"/>
          <w:color w:val="auto"/>
          <w:spacing w:val="14"/>
          <w:sz w:val="24"/>
          <w:highlight w:val="none"/>
        </w:rPr>
        <w:t>，在经营活动中没有重大违法记录：提供承诺函（格式见附件《</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资格信用承诺函》）重大违法记录，是指</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6D196FB">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6、投标人未被列入“信用中国”网站(https://www.creditchina.gov.cn)“失信被执行人或重大税收违法失信主体或政府采购严重违法失信行为记录名单”记录名单</w:t>
      </w:r>
      <w:r>
        <w:rPr>
          <w:rFonts w:hint="eastAsia" w:ascii="仿宋" w:hAnsi="仿宋" w:eastAsia="仿宋" w:cs="仿宋"/>
          <w:color w:val="auto"/>
          <w:spacing w:val="14"/>
          <w:sz w:val="24"/>
          <w:highlight w:val="none"/>
          <w:lang w:eastAsia="zh-CN"/>
        </w:rPr>
        <w:t>。</w:t>
      </w:r>
      <w:r>
        <w:rPr>
          <w:rFonts w:hint="eastAsia" w:ascii="仿宋" w:hAnsi="仿宋" w:eastAsia="仿宋" w:cs="仿宋"/>
          <w:color w:val="auto"/>
          <w:spacing w:val="14"/>
          <w:sz w:val="24"/>
          <w:highlight w:val="none"/>
        </w:rPr>
        <w:t>（以资格审查期间查询</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在“信用中国”网站查询结果为准，如相关失信记录已失效，</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需提供相关证明资料）。</w:t>
      </w:r>
    </w:p>
    <w:p w14:paraId="23874F0A">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7、单位负责人为同一人或者存在直接控股、管理关系的不同</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，不得同时参加</w:t>
      </w:r>
      <w:r>
        <w:rPr>
          <w:rFonts w:hint="eastAsia" w:ascii="仿宋" w:hAnsi="仿宋" w:eastAsia="仿宋" w:cs="仿宋"/>
          <w:color w:val="auto"/>
          <w:spacing w:val="14"/>
          <w:sz w:val="24"/>
          <w:highlight w:val="none"/>
          <w:lang w:eastAsia="zh-CN"/>
        </w:rPr>
        <w:t>本采购项目投标</w:t>
      </w:r>
      <w:r>
        <w:rPr>
          <w:rFonts w:hint="eastAsia" w:ascii="仿宋" w:hAnsi="仿宋" w:eastAsia="仿宋" w:cs="仿宋"/>
          <w:color w:val="auto"/>
          <w:spacing w:val="14"/>
          <w:sz w:val="24"/>
          <w:highlight w:val="none"/>
        </w:rPr>
        <w:t>。提供承诺函。（格式见附件《关于资格的声明函》）</w:t>
      </w:r>
    </w:p>
    <w:p w14:paraId="2F62FA99">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8、为</w:t>
      </w:r>
      <w:r>
        <w:rPr>
          <w:rFonts w:hint="eastAsia" w:ascii="仿宋" w:hAnsi="仿宋" w:eastAsia="仿宋" w:cs="仿宋"/>
          <w:color w:val="auto"/>
          <w:spacing w:val="14"/>
          <w:sz w:val="24"/>
          <w:highlight w:val="none"/>
          <w:lang w:eastAsia="zh-CN"/>
        </w:rPr>
        <w:t>采购项目</w:t>
      </w:r>
      <w:r>
        <w:rPr>
          <w:rFonts w:hint="eastAsia" w:ascii="仿宋" w:hAnsi="仿宋" w:eastAsia="仿宋" w:cs="仿宋"/>
          <w:color w:val="auto"/>
          <w:spacing w:val="14"/>
          <w:sz w:val="24"/>
          <w:highlight w:val="none"/>
        </w:rPr>
        <w:t>提供整体设计、规范编制或者项目管理、监理、检测等服务的</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，不得再</w:t>
      </w:r>
      <w:r>
        <w:rPr>
          <w:rFonts w:hint="eastAsia" w:ascii="仿宋" w:hAnsi="仿宋" w:eastAsia="仿宋" w:cs="仿宋"/>
          <w:color w:val="auto"/>
          <w:spacing w:val="14"/>
          <w:sz w:val="24"/>
          <w:highlight w:val="none"/>
          <w:lang w:eastAsia="zh-CN"/>
        </w:rPr>
        <w:t>参加该采购项目的其他采购活动</w:t>
      </w:r>
      <w:r>
        <w:rPr>
          <w:rFonts w:hint="eastAsia" w:ascii="仿宋" w:hAnsi="仿宋" w:eastAsia="仿宋" w:cs="仿宋"/>
          <w:color w:val="auto"/>
          <w:spacing w:val="14"/>
          <w:sz w:val="24"/>
          <w:highlight w:val="none"/>
        </w:rPr>
        <w:t>。提供承诺函。（格式见附件《关于资格的声明函》）</w:t>
      </w:r>
    </w:p>
    <w:p w14:paraId="27BAE345">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9、本项目不接受联合体</w:t>
      </w:r>
      <w:r>
        <w:rPr>
          <w:rFonts w:hint="eastAsia" w:ascii="仿宋" w:hAnsi="仿宋" w:eastAsia="仿宋" w:cs="仿宋"/>
          <w:color w:val="auto"/>
          <w:spacing w:val="14"/>
          <w:sz w:val="24"/>
          <w:highlight w:val="none"/>
          <w:lang w:eastAsia="zh-CN"/>
        </w:rPr>
        <w:t>投标</w:t>
      </w:r>
      <w:r>
        <w:rPr>
          <w:rFonts w:hint="eastAsia" w:ascii="仿宋" w:hAnsi="仿宋" w:eastAsia="仿宋" w:cs="仿宋"/>
          <w:color w:val="auto"/>
          <w:spacing w:val="14"/>
          <w:sz w:val="24"/>
          <w:highlight w:val="none"/>
        </w:rPr>
        <w:t>。（以联合体身份提交</w:t>
      </w:r>
      <w:r>
        <w:rPr>
          <w:rFonts w:hint="eastAsia" w:ascii="仿宋" w:hAnsi="仿宋" w:eastAsia="仿宋" w:cs="仿宋"/>
          <w:color w:val="auto"/>
          <w:spacing w:val="14"/>
          <w:sz w:val="24"/>
          <w:highlight w:val="none"/>
          <w:lang w:eastAsia="zh-CN"/>
        </w:rPr>
        <w:t>投标文件</w:t>
      </w:r>
      <w:r>
        <w:rPr>
          <w:rFonts w:hint="eastAsia" w:ascii="仿宋" w:hAnsi="仿宋" w:eastAsia="仿宋" w:cs="仿宋"/>
          <w:color w:val="auto"/>
          <w:spacing w:val="14"/>
          <w:sz w:val="24"/>
          <w:highlight w:val="none"/>
        </w:rPr>
        <w:t>参与</w:t>
      </w:r>
      <w:r>
        <w:rPr>
          <w:rFonts w:hint="eastAsia" w:ascii="仿宋" w:hAnsi="仿宋" w:eastAsia="仿宋" w:cs="仿宋"/>
          <w:color w:val="auto"/>
          <w:spacing w:val="14"/>
          <w:sz w:val="24"/>
          <w:highlight w:val="none"/>
          <w:lang w:eastAsia="zh-CN"/>
        </w:rPr>
        <w:t>投标</w:t>
      </w:r>
      <w:r>
        <w:rPr>
          <w:rFonts w:hint="eastAsia" w:ascii="仿宋" w:hAnsi="仿宋" w:eastAsia="仿宋" w:cs="仿宋"/>
          <w:color w:val="auto"/>
          <w:spacing w:val="14"/>
          <w:sz w:val="24"/>
          <w:highlight w:val="none"/>
        </w:rPr>
        <w:t>的，即视为不符合资格要求）</w:t>
      </w:r>
    </w:p>
    <w:p w14:paraId="42CECC3E">
      <w:pPr>
        <w:pStyle w:val="72"/>
        <w:keepNext w:val="0"/>
        <w:keepLines w:val="0"/>
        <w:pageBreakBefore w:val="0"/>
        <w:widowControl w:val="0"/>
        <w:kinsoku/>
        <w:wordWrap w:val="0"/>
        <w:overflowPunct/>
        <w:topLinePunct w:val="0"/>
        <w:bidi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三、获取</w:t>
      </w:r>
      <w:r>
        <w:rPr>
          <w:rFonts w:hint="eastAsia" w:ascii="仿宋" w:hAnsi="仿宋" w:eastAsia="仿宋" w:cs="仿宋"/>
          <w:b/>
          <w:bCs/>
          <w:color w:val="auto"/>
          <w:sz w:val="24"/>
          <w:szCs w:val="24"/>
          <w:highlight w:val="none"/>
          <w:lang w:eastAsia="zh-CN"/>
        </w:rPr>
        <w:t>采购文件</w:t>
      </w:r>
    </w:p>
    <w:p w14:paraId="581BA3C2">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0" w:leftChars="0" w:right="0" w:rightChars="0" w:firstLine="616" w:firstLineChars="257"/>
        <w:jc w:val="both"/>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时间：2025年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日至2025年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 xml:space="preserve">日，每天上午00:00:00至12:00:00，下午12:00:00至23:59:59（北京时间，法定节假日除外） </w:t>
      </w:r>
    </w:p>
    <w:p w14:paraId="6F6A3B60">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0" w:leftChars="0" w:right="0" w:rightChars="0" w:firstLine="616" w:firstLineChars="257"/>
        <w:jc w:val="both"/>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地点：“佛山市公共资源交易信息化综合平台”（https://jy.ggzy.foshan.gov.cn/TPBidder/login.aspx）</w:t>
      </w:r>
    </w:p>
    <w:p w14:paraId="58E5D24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616" w:firstLineChars="257"/>
        <w:jc w:val="both"/>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方式：网上获取，具体要求详见“其他补充事宜”。</w:t>
      </w:r>
    </w:p>
    <w:p w14:paraId="5E93AA21">
      <w:pPr>
        <w:keepNext w:val="0"/>
        <w:keepLines w:val="0"/>
        <w:pageBreakBefore w:val="0"/>
        <w:widowControl w:val="0"/>
        <w:shd w:val="clear" w:color="auto" w:fill="auto"/>
        <w:kinsoku/>
        <w:overflowPunct/>
        <w:topLinePunct w:val="0"/>
        <w:autoSpaceDE/>
        <w:autoSpaceDN/>
        <w:bidi w:val="0"/>
        <w:adjustRightInd/>
        <w:snapToGrid/>
        <w:spacing w:line="360" w:lineRule="auto"/>
        <w:ind w:left="0" w:leftChars="0" w:right="0" w:rightChars="0" w:firstLine="616" w:firstLineChars="257"/>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售价：0元。</w:t>
      </w:r>
    </w:p>
    <w:p w14:paraId="4286B515">
      <w:pPr>
        <w:pStyle w:val="72"/>
        <w:keepNext w:val="0"/>
        <w:keepLines w:val="0"/>
        <w:pageBreakBefore w:val="0"/>
        <w:widowControl w:val="0"/>
        <w:kinsoku/>
        <w:wordWrap w:val="0"/>
        <w:overflowPunct/>
        <w:topLinePunct w:val="0"/>
        <w:bidi w:val="0"/>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四、提交</w:t>
      </w:r>
      <w:r>
        <w:rPr>
          <w:rFonts w:hint="eastAsia" w:ascii="仿宋" w:hAnsi="仿宋" w:eastAsia="仿宋" w:cs="仿宋"/>
          <w:b/>
          <w:bCs/>
          <w:color w:val="auto"/>
          <w:sz w:val="24"/>
          <w:szCs w:val="24"/>
          <w:highlight w:val="none"/>
          <w:lang w:eastAsia="zh-CN"/>
        </w:rPr>
        <w:t>投标文件</w:t>
      </w:r>
      <w:r>
        <w:rPr>
          <w:rFonts w:hint="eastAsia" w:ascii="仿宋" w:hAnsi="仿宋" w:eastAsia="仿宋" w:cs="仿宋"/>
          <w:b/>
          <w:bCs/>
          <w:color w:val="auto"/>
          <w:sz w:val="24"/>
          <w:szCs w:val="24"/>
          <w:highlight w:val="none"/>
        </w:rPr>
        <w:t>截止时间、</w:t>
      </w:r>
      <w:r>
        <w:rPr>
          <w:rFonts w:hint="eastAsia" w:ascii="仿宋" w:hAnsi="仿宋" w:eastAsia="仿宋" w:cs="仿宋"/>
          <w:b/>
          <w:bCs/>
          <w:color w:val="auto"/>
          <w:sz w:val="24"/>
          <w:szCs w:val="24"/>
          <w:highlight w:val="none"/>
          <w:lang w:eastAsia="zh-CN"/>
        </w:rPr>
        <w:t>开启时间</w:t>
      </w:r>
      <w:r>
        <w:rPr>
          <w:rFonts w:hint="eastAsia" w:ascii="仿宋" w:hAnsi="仿宋" w:eastAsia="仿宋" w:cs="仿宋"/>
          <w:b/>
          <w:bCs/>
          <w:color w:val="auto"/>
          <w:sz w:val="24"/>
          <w:szCs w:val="24"/>
          <w:highlight w:val="none"/>
        </w:rPr>
        <w:t>和地点</w:t>
      </w:r>
    </w:p>
    <w:p w14:paraId="34250089">
      <w:pPr>
        <w:pStyle w:val="72"/>
        <w:keepNext w:val="0"/>
        <w:keepLines w:val="0"/>
        <w:pageBreakBefore w:val="0"/>
        <w:widowControl w:val="0"/>
        <w:kinsoku/>
        <w:wordWrap w:val="0"/>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截止时间、开启时间：2025年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日9时00分（北京时间）</w:t>
      </w:r>
    </w:p>
    <w:p w14:paraId="2D7F2D80">
      <w:pPr>
        <w:pStyle w:val="72"/>
        <w:keepNext w:val="0"/>
        <w:keepLines w:val="0"/>
        <w:pageBreakBefore w:val="0"/>
        <w:widowControl w:val="0"/>
        <w:kinsoku/>
        <w:wordWrap w:val="0"/>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地点：佛山市公共资源交易中心南海分中心开标</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室（详细地址：广东省佛山市南海区桂城街道夏南路58号方舟一号建筑产业中心大楼2层）。</w:t>
      </w:r>
    </w:p>
    <w:p w14:paraId="68E85134">
      <w:pPr>
        <w:pStyle w:val="72"/>
        <w:keepNext w:val="0"/>
        <w:keepLines w:val="0"/>
        <w:pageBreakBefore w:val="0"/>
        <w:widowControl w:val="0"/>
        <w:kinsoku/>
        <w:wordWrap w:val="0"/>
        <w:overflowPunct/>
        <w:topLinePunct w:val="0"/>
        <w:bidi w:val="0"/>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五、公告期限</w:t>
      </w:r>
    </w:p>
    <w:p w14:paraId="19063738">
      <w:pPr>
        <w:pStyle w:val="72"/>
        <w:keepNext w:val="0"/>
        <w:keepLines w:val="0"/>
        <w:pageBreakBefore w:val="0"/>
        <w:widowControl w:val="0"/>
        <w:kinsoku/>
        <w:wordWrap w:val="0"/>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自本公告发布之日起5个工作日。 </w:t>
      </w:r>
    </w:p>
    <w:p w14:paraId="70C1F637">
      <w:pPr>
        <w:pStyle w:val="72"/>
        <w:keepNext w:val="0"/>
        <w:keepLines w:val="0"/>
        <w:pageBreakBefore w:val="0"/>
        <w:widowControl w:val="0"/>
        <w:kinsoku/>
        <w:wordWrap w:val="0"/>
        <w:overflowPunct/>
        <w:topLinePunct w:val="0"/>
        <w:bidi w:val="0"/>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六、其他补充事宜</w:t>
      </w:r>
    </w:p>
    <w:p w14:paraId="581383CB">
      <w:pPr>
        <w:pStyle w:val="72"/>
        <w:keepNext w:val="0"/>
        <w:keepLines w:val="0"/>
        <w:pageBreakBefore w:val="0"/>
        <w:widowControl w:val="0"/>
        <w:kinsoku/>
        <w:wordWrap w:val="0"/>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本项目为</w:t>
      </w:r>
      <w:r>
        <w:rPr>
          <w:rFonts w:hint="eastAsia" w:ascii="仿宋" w:hAnsi="仿宋" w:eastAsia="仿宋" w:cs="仿宋"/>
          <w:color w:val="auto"/>
          <w:sz w:val="24"/>
          <w:szCs w:val="24"/>
          <w:highlight w:val="none"/>
          <w:lang w:eastAsia="zh-CN"/>
        </w:rPr>
        <w:t>村居</w:t>
      </w:r>
      <w:r>
        <w:rPr>
          <w:rFonts w:hint="eastAsia" w:ascii="仿宋" w:hAnsi="仿宋" w:eastAsia="仿宋" w:cs="仿宋"/>
          <w:color w:val="auto"/>
          <w:sz w:val="24"/>
          <w:szCs w:val="24"/>
          <w:highlight w:val="none"/>
        </w:rPr>
        <w:t>采购，不属于</w:t>
      </w:r>
      <w:r>
        <w:rPr>
          <w:rFonts w:hint="eastAsia" w:ascii="仿宋" w:hAnsi="仿宋" w:eastAsia="仿宋" w:cs="仿宋"/>
          <w:color w:val="auto"/>
          <w:sz w:val="24"/>
          <w:szCs w:val="24"/>
          <w:highlight w:val="none"/>
          <w:lang w:val="en-US" w:eastAsia="zh-CN"/>
        </w:rPr>
        <w:t>政府</w:t>
      </w:r>
      <w:r>
        <w:rPr>
          <w:rFonts w:hint="eastAsia" w:ascii="仿宋" w:hAnsi="仿宋" w:eastAsia="仿宋" w:cs="仿宋"/>
          <w:color w:val="auto"/>
          <w:sz w:val="24"/>
          <w:szCs w:val="24"/>
          <w:highlight w:val="none"/>
        </w:rPr>
        <w:t>采购范畴，不属于依法必须招标的范畴。</w:t>
      </w:r>
    </w:p>
    <w:p w14:paraId="029D767C">
      <w:pPr>
        <w:pStyle w:val="72"/>
        <w:keepNext w:val="0"/>
        <w:keepLines w:val="0"/>
        <w:pageBreakBefore w:val="0"/>
        <w:widowControl w:val="0"/>
        <w:kinsoku/>
        <w:wordWrap w:val="0"/>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本项目采用电子化采购模式，</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须按照采购文件要求，登录佛山市公共资源交易信息化综合平台进行网上获取采购文件和递交纸质</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p>
    <w:tbl>
      <w:tblPr>
        <w:tblStyle w:val="2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7507"/>
      </w:tblGrid>
      <w:tr w14:paraId="059D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tcBorders>
              <w:top w:val="single" w:color="auto" w:sz="4" w:space="0"/>
              <w:left w:val="single" w:color="auto" w:sz="4" w:space="0"/>
              <w:bottom w:val="single" w:color="auto" w:sz="4" w:space="0"/>
              <w:right w:val="single" w:color="auto" w:sz="4" w:space="0"/>
            </w:tcBorders>
            <w:noWrap w:val="0"/>
            <w:vAlign w:val="center"/>
          </w:tcPr>
          <w:p w14:paraId="3114AB9D">
            <w:pPr>
              <w:pStyle w:val="72"/>
              <w:keepNext w:val="0"/>
              <w:keepLines w:val="0"/>
              <w:suppressLineNumbers w:val="0"/>
              <w:wordWrap w:val="0"/>
              <w:spacing w:before="0" w:beforeAutospacing="0" w:after="0"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获取采购文件和下载采购文件</w:t>
            </w:r>
          </w:p>
        </w:tc>
        <w:tc>
          <w:tcPr>
            <w:tcW w:w="7507" w:type="dxa"/>
            <w:tcBorders>
              <w:top w:val="single" w:color="auto" w:sz="4" w:space="0"/>
              <w:left w:val="single" w:color="auto" w:sz="4" w:space="0"/>
              <w:bottom w:val="single" w:color="auto" w:sz="4" w:space="0"/>
              <w:right w:val="single" w:color="auto" w:sz="4" w:space="0"/>
            </w:tcBorders>
            <w:noWrap w:val="0"/>
            <w:vAlign w:val="center"/>
          </w:tcPr>
          <w:p w14:paraId="74AF36DB">
            <w:pPr>
              <w:pStyle w:val="72"/>
              <w:keepNext w:val="0"/>
              <w:keepLines w:val="0"/>
              <w:suppressLineNumbers w:val="0"/>
              <w:wordWrap w:val="0"/>
              <w:spacing w:before="0" w:beforeAutospacing="0" w:after="0" w:afterAutospacing="0" w:line="36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本项目采用网上获取采购文件。供应商须先办理供应商信息入库后，并通过登录交易系统“佛山市公共资源交易信息化综合平台”（https://jy.ggzy.foshan.gov.cn/TPBidder/login.aspx）获取采购文件后，才能参与本项目的</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w:t>
            </w:r>
          </w:p>
          <w:p w14:paraId="3C364BE3">
            <w:pPr>
              <w:pStyle w:val="72"/>
              <w:keepNext w:val="0"/>
              <w:keepLines w:val="0"/>
              <w:suppressLineNumbers w:val="0"/>
              <w:wordWrap w:val="0"/>
              <w:spacing w:before="0" w:beforeAutospacing="0" w:after="0" w:afterAutospacing="0" w:line="36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供应商信息入库具体操作方法请浏览“佛山市公共资源交易信息化综合平台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（https://jy.ggzy.foshan.gov.cn/TPBidder/HuiYuanInfoMis2_FS/Pages/HuiYuanRegister/DownloadLink.aspx?IsZhonngXin=0）-操作手册及其他资料下载-进场交易、国企采购”栏目相关信息</w:t>
            </w:r>
            <w:r>
              <w:rPr>
                <w:rFonts w:hint="eastAsia" w:ascii="仿宋" w:hAnsi="仿宋" w:eastAsia="仿宋" w:cs="仿宋"/>
                <w:color w:val="auto"/>
                <w:sz w:val="24"/>
                <w:szCs w:val="24"/>
                <w:highlight w:val="none"/>
                <w:lang w:eastAsia="zh-CN"/>
              </w:rPr>
              <w:t>。</w:t>
            </w:r>
          </w:p>
          <w:p w14:paraId="4A03723D">
            <w:pPr>
              <w:pStyle w:val="72"/>
              <w:keepNext w:val="0"/>
              <w:keepLines w:val="0"/>
              <w:suppressLineNumbers w:val="0"/>
              <w:wordWrap w:val="0"/>
              <w:spacing w:before="0" w:beforeAutospacing="0" w:after="0" w:afterAutospacing="0" w:line="36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已办理供应商信息入库的供应商应当在</w:t>
            </w:r>
            <w:r>
              <w:rPr>
                <w:rFonts w:hint="eastAsia" w:ascii="仿宋" w:hAnsi="仿宋" w:eastAsia="仿宋" w:cs="仿宋"/>
                <w:color w:val="auto"/>
                <w:sz w:val="24"/>
                <w:szCs w:val="24"/>
                <w:highlight w:val="none"/>
                <w:lang w:eastAsia="zh-CN"/>
              </w:rPr>
              <w:t>磋商公告</w:t>
            </w:r>
            <w:r>
              <w:rPr>
                <w:rFonts w:hint="eastAsia" w:ascii="仿宋" w:hAnsi="仿宋" w:eastAsia="仿宋" w:cs="仿宋"/>
                <w:color w:val="auto"/>
                <w:sz w:val="24"/>
                <w:szCs w:val="24"/>
                <w:highlight w:val="none"/>
              </w:rPr>
              <w:t>规定时间内，登录交易系统“佛山市公共资源交易信息化综合平台”（https://jy.ggzy.foshan.gov.cn/TPBidder/login.aspx），按照系统提示下载采购文件。（如项目附有图纸的，需同时下载）</w:t>
            </w:r>
          </w:p>
          <w:p w14:paraId="1E1824BD">
            <w:pPr>
              <w:pStyle w:val="72"/>
              <w:keepNext w:val="0"/>
              <w:keepLines w:val="0"/>
              <w:suppressLineNumbers w:val="0"/>
              <w:wordWrap w:val="0"/>
              <w:spacing w:before="0" w:beforeAutospacing="0" w:after="0" w:afterAutospacing="0" w:line="36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技术咨询电话：(+86)4009980000、0757-83990765。</w:t>
            </w:r>
          </w:p>
        </w:tc>
      </w:tr>
      <w:tr w14:paraId="160C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tcBorders>
              <w:top w:val="single" w:color="auto" w:sz="4" w:space="0"/>
              <w:left w:val="single" w:color="auto" w:sz="4" w:space="0"/>
              <w:bottom w:val="single" w:color="auto" w:sz="4" w:space="0"/>
              <w:right w:val="single" w:color="auto" w:sz="4" w:space="0"/>
            </w:tcBorders>
            <w:noWrap w:val="0"/>
            <w:vAlign w:val="center"/>
          </w:tcPr>
          <w:p w14:paraId="31D83AE7">
            <w:pPr>
              <w:pStyle w:val="72"/>
              <w:keepNext w:val="0"/>
              <w:keepLines w:val="0"/>
              <w:suppressLineNumbers w:val="0"/>
              <w:wordWrap w:val="0"/>
              <w:spacing w:before="0" w:beforeAutospacing="0" w:after="0"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询问、质疑</w:t>
            </w:r>
          </w:p>
        </w:tc>
        <w:tc>
          <w:tcPr>
            <w:tcW w:w="7507" w:type="dxa"/>
            <w:tcBorders>
              <w:top w:val="single" w:color="auto" w:sz="4" w:space="0"/>
              <w:left w:val="single" w:color="auto" w:sz="4" w:space="0"/>
              <w:bottom w:val="single" w:color="auto" w:sz="4" w:space="0"/>
              <w:right w:val="single" w:color="auto" w:sz="4" w:space="0"/>
            </w:tcBorders>
            <w:noWrap w:val="0"/>
            <w:vAlign w:val="center"/>
          </w:tcPr>
          <w:p w14:paraId="3CE16D73">
            <w:pPr>
              <w:pStyle w:val="72"/>
              <w:keepNext w:val="0"/>
              <w:keepLines w:val="0"/>
              <w:suppressLineNumbers w:val="0"/>
              <w:wordWrap w:val="0"/>
              <w:spacing w:before="0" w:beforeAutospacing="0" w:after="0" w:afterAutospacing="0" w:line="36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供应商有</w:t>
            </w:r>
            <w:r>
              <w:rPr>
                <w:rFonts w:hint="eastAsia" w:ascii="仿宋" w:hAnsi="仿宋" w:eastAsia="仿宋" w:cs="仿宋"/>
                <w:color w:val="auto"/>
                <w:sz w:val="24"/>
                <w:szCs w:val="24"/>
                <w:highlight w:val="none"/>
              </w:rPr>
              <w:t>询问</w:t>
            </w:r>
            <w:r>
              <w:rPr>
                <w:rFonts w:hint="eastAsia" w:ascii="仿宋" w:hAnsi="仿宋" w:eastAsia="仿宋" w:cs="仿宋"/>
                <w:color w:val="auto"/>
                <w:sz w:val="24"/>
                <w:szCs w:val="24"/>
                <w:highlight w:val="none"/>
                <w:lang w:val="en-US" w:eastAsia="zh-CN"/>
              </w:rPr>
              <w:t>或质疑的，可按磋商文件规定期限</w:t>
            </w:r>
            <w:r>
              <w:rPr>
                <w:rFonts w:hint="eastAsia" w:ascii="仿宋" w:hAnsi="仿宋" w:eastAsia="仿宋" w:cs="仿宋"/>
                <w:color w:val="auto"/>
                <w:sz w:val="24"/>
                <w:szCs w:val="24"/>
                <w:highlight w:val="none"/>
              </w:rPr>
              <w:t>内</w:t>
            </w:r>
            <w:r>
              <w:rPr>
                <w:rFonts w:hint="eastAsia" w:ascii="仿宋" w:hAnsi="仿宋" w:eastAsia="仿宋" w:cs="仿宋"/>
                <w:color w:val="auto"/>
                <w:sz w:val="24"/>
                <w:szCs w:val="24"/>
                <w:highlight w:val="none"/>
                <w:lang w:val="en-US" w:eastAsia="zh-CN"/>
              </w:rPr>
              <w:t>按相关要求</w:t>
            </w:r>
            <w:r>
              <w:rPr>
                <w:rFonts w:hint="eastAsia" w:ascii="仿宋" w:hAnsi="仿宋" w:eastAsia="仿宋" w:cs="仿宋"/>
                <w:color w:val="auto"/>
                <w:sz w:val="24"/>
                <w:szCs w:val="24"/>
                <w:highlight w:val="none"/>
              </w:rPr>
              <w:t>向采购人或者采购代理机构提出询问</w:t>
            </w:r>
            <w:r>
              <w:rPr>
                <w:rFonts w:hint="eastAsia" w:ascii="仿宋" w:hAnsi="仿宋" w:eastAsia="仿宋" w:cs="仿宋"/>
                <w:color w:val="auto"/>
                <w:sz w:val="24"/>
                <w:szCs w:val="24"/>
                <w:highlight w:val="none"/>
                <w:lang w:val="en-US" w:eastAsia="zh-CN"/>
              </w:rPr>
              <w:t>或质疑</w:t>
            </w:r>
            <w:r>
              <w:rPr>
                <w:rFonts w:hint="eastAsia" w:ascii="仿宋" w:hAnsi="仿宋" w:eastAsia="仿宋" w:cs="仿宋"/>
                <w:color w:val="auto"/>
                <w:sz w:val="24"/>
                <w:szCs w:val="24"/>
                <w:highlight w:val="none"/>
              </w:rPr>
              <w:t>。</w:t>
            </w:r>
          </w:p>
        </w:tc>
      </w:tr>
      <w:tr w14:paraId="70BC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tcBorders>
              <w:top w:val="single" w:color="auto" w:sz="4" w:space="0"/>
              <w:left w:val="single" w:color="auto" w:sz="4" w:space="0"/>
              <w:bottom w:val="single" w:color="auto" w:sz="4" w:space="0"/>
              <w:right w:val="single" w:color="auto" w:sz="4" w:space="0"/>
            </w:tcBorders>
            <w:noWrap w:val="0"/>
            <w:vAlign w:val="center"/>
          </w:tcPr>
          <w:p w14:paraId="4CF1E849">
            <w:pPr>
              <w:pStyle w:val="72"/>
              <w:keepNext w:val="0"/>
              <w:keepLines w:val="0"/>
              <w:suppressLineNumbers w:val="0"/>
              <w:wordWrap w:val="0"/>
              <w:spacing w:before="0" w:beforeAutospacing="0" w:after="0"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询问受理方式</w:t>
            </w:r>
          </w:p>
        </w:tc>
        <w:tc>
          <w:tcPr>
            <w:tcW w:w="7507" w:type="dxa"/>
            <w:tcBorders>
              <w:top w:val="single" w:color="auto" w:sz="4" w:space="0"/>
              <w:left w:val="single" w:color="auto" w:sz="4" w:space="0"/>
              <w:bottom w:val="single" w:color="auto" w:sz="4" w:space="0"/>
              <w:right w:val="single" w:color="auto" w:sz="4" w:space="0"/>
            </w:tcBorders>
            <w:noWrap w:val="0"/>
            <w:vAlign w:val="center"/>
          </w:tcPr>
          <w:p w14:paraId="228356C2">
            <w:pPr>
              <w:keepNext w:val="0"/>
              <w:keepLines w:val="0"/>
              <w:suppressLineNumbers w:val="0"/>
              <w:wordWrap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进入“佛山市公共资源交易信息化综合平台”，进入“项目询问/质疑”填写相关信息，并将询问函及相关证明材料按综合平台要求进行提交，并查询和打印询问受理回执。</w:t>
            </w:r>
          </w:p>
        </w:tc>
      </w:tr>
      <w:tr w14:paraId="2363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tcBorders>
              <w:top w:val="single" w:color="auto" w:sz="4" w:space="0"/>
              <w:left w:val="single" w:color="auto" w:sz="4" w:space="0"/>
              <w:bottom w:val="single" w:color="auto" w:sz="4" w:space="0"/>
              <w:right w:val="single" w:color="auto" w:sz="4" w:space="0"/>
            </w:tcBorders>
            <w:noWrap w:val="0"/>
            <w:vAlign w:val="center"/>
          </w:tcPr>
          <w:p w14:paraId="4039A544">
            <w:pPr>
              <w:pStyle w:val="72"/>
              <w:keepNext w:val="0"/>
              <w:keepLines w:val="0"/>
              <w:suppressLineNumbers w:val="0"/>
              <w:wordWrap w:val="0"/>
              <w:spacing w:before="0" w:beforeAutospacing="0" w:after="0"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质疑受理方式</w:t>
            </w:r>
          </w:p>
        </w:tc>
        <w:tc>
          <w:tcPr>
            <w:tcW w:w="7507" w:type="dxa"/>
            <w:tcBorders>
              <w:top w:val="single" w:color="auto" w:sz="4" w:space="0"/>
              <w:left w:val="single" w:color="auto" w:sz="4" w:space="0"/>
              <w:bottom w:val="single" w:color="auto" w:sz="4" w:space="0"/>
              <w:right w:val="single" w:color="auto" w:sz="4" w:space="0"/>
            </w:tcBorders>
            <w:noWrap w:val="0"/>
            <w:vAlign w:val="center"/>
          </w:tcPr>
          <w:p w14:paraId="46ABA7D5">
            <w:pPr>
              <w:keepNext w:val="0"/>
              <w:keepLines w:val="0"/>
              <w:suppressLineNumbers w:val="0"/>
              <w:wordWrap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进入“佛山市公共资源交易信息化综合平台”，进入“项目询问/质疑”填写相关信息，并将质疑函及相关证明材料按综合平台要求进行提交，并查询和打印质疑受理回执。</w:t>
            </w:r>
          </w:p>
        </w:tc>
      </w:tr>
      <w:tr w14:paraId="2887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tcBorders>
              <w:top w:val="single" w:color="auto" w:sz="4" w:space="0"/>
              <w:left w:val="single" w:color="auto" w:sz="4" w:space="0"/>
              <w:bottom w:val="single" w:color="auto" w:sz="4" w:space="0"/>
              <w:right w:val="single" w:color="auto" w:sz="4" w:space="0"/>
            </w:tcBorders>
            <w:noWrap w:val="0"/>
            <w:vAlign w:val="center"/>
          </w:tcPr>
          <w:p w14:paraId="0EE8B03F">
            <w:pPr>
              <w:pStyle w:val="72"/>
              <w:keepNext w:val="0"/>
              <w:keepLines w:val="0"/>
              <w:suppressLineNumbers w:val="0"/>
              <w:wordWrap w:val="0"/>
              <w:spacing w:before="0" w:beforeAutospacing="0" w:after="0" w:afterAutospacing="0" w:line="360" w:lineRule="auto"/>
              <w:ind w:left="0" w:right="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采购信息发布网站</w:t>
            </w:r>
          </w:p>
        </w:tc>
        <w:tc>
          <w:tcPr>
            <w:tcW w:w="7507" w:type="dxa"/>
            <w:tcBorders>
              <w:top w:val="single" w:color="auto" w:sz="4" w:space="0"/>
              <w:left w:val="single" w:color="auto" w:sz="4" w:space="0"/>
              <w:bottom w:val="single" w:color="auto" w:sz="4" w:space="0"/>
              <w:right w:val="single" w:color="auto" w:sz="4" w:space="0"/>
            </w:tcBorders>
            <w:noWrap w:val="0"/>
            <w:vAlign w:val="center"/>
          </w:tcPr>
          <w:p w14:paraId="2AB4D317">
            <w:pPr>
              <w:keepNext w:val="0"/>
              <w:keepLines w:val="0"/>
              <w:suppressLineNumbers w:val="0"/>
              <w:wordWrap w:val="0"/>
              <w:spacing w:before="0" w:beforeAutospacing="0" w:after="0" w:afterAutospacing="0" w:line="360" w:lineRule="auto"/>
              <w:ind w:left="0" w:right="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全国公共资源交易平台（广东省·佛山市）（https://ygp.gdzwfw.gov.cn/ggzy-portal/#/440600/index），佛山市南海区人民政府网（http://www.nanhai.gov.cn/fsnhq/bmdh/sydw/ggzyjyzx/jyxx/）</w:t>
            </w:r>
            <w:r>
              <w:rPr>
                <w:rFonts w:hint="eastAsia" w:ascii="仿宋" w:hAnsi="仿宋" w:eastAsia="仿宋" w:cs="仿宋"/>
                <w:color w:val="auto"/>
                <w:sz w:val="24"/>
                <w:highlight w:val="none"/>
                <w:lang w:eastAsia="zh-CN"/>
              </w:rPr>
              <w:t>，佛山市南海区桂城街叠北社区公告栏</w:t>
            </w:r>
          </w:p>
        </w:tc>
      </w:tr>
    </w:tbl>
    <w:p w14:paraId="1055DE05">
      <w:pPr>
        <w:keepNext w:val="0"/>
        <w:keepLines w:val="0"/>
        <w:pageBreakBefore w:val="0"/>
        <w:widowControl w:val="0"/>
        <w:kinsoku/>
        <w:wordWrap w:val="0"/>
        <w:overflowPunct/>
        <w:topLinePunct w:val="0"/>
        <w:bidi w:val="0"/>
        <w:spacing w:line="360" w:lineRule="auto"/>
        <w:ind w:left="15" w:leftChars="7" w:right="504" w:rightChars="240" w:firstLine="626" w:firstLineChars="260"/>
        <w:jc w:val="left"/>
        <w:textAlignment w:val="auto"/>
        <w:rPr>
          <w:rStyle w:val="37"/>
          <w:rFonts w:hint="eastAsia" w:ascii="仿宋" w:hAnsi="仿宋" w:eastAsia="仿宋" w:cs="仿宋"/>
          <w:b/>
          <w:bCs/>
          <w:color w:val="auto"/>
          <w:sz w:val="24"/>
          <w:highlight w:val="none"/>
        </w:rPr>
      </w:pPr>
      <w:r>
        <w:rPr>
          <w:rStyle w:val="37"/>
          <w:rFonts w:hint="eastAsia" w:ascii="仿宋" w:hAnsi="仿宋" w:eastAsia="仿宋" w:cs="仿宋"/>
          <w:b/>
          <w:bCs/>
          <w:color w:val="auto"/>
          <w:sz w:val="24"/>
          <w:highlight w:val="none"/>
        </w:rPr>
        <w:t>七、联系事项</w:t>
      </w:r>
    </w:p>
    <w:p w14:paraId="254DBE80">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Style w:val="37"/>
          <w:rFonts w:hint="eastAsia" w:ascii="仿宋" w:hAnsi="仿宋" w:eastAsia="仿宋" w:cs="仿宋"/>
          <w:color w:val="auto"/>
          <w:sz w:val="24"/>
          <w:highlight w:val="none"/>
        </w:rPr>
      </w:pPr>
      <w:r>
        <w:rPr>
          <w:rStyle w:val="37"/>
          <w:rFonts w:hint="eastAsia" w:ascii="仿宋" w:hAnsi="仿宋" w:eastAsia="仿宋" w:cs="仿宋"/>
          <w:color w:val="auto"/>
          <w:sz w:val="24"/>
          <w:highlight w:val="none"/>
        </w:rPr>
        <w:t>1.</w:t>
      </w:r>
      <w:r>
        <w:rPr>
          <w:rStyle w:val="37"/>
          <w:rFonts w:hint="eastAsia" w:ascii="仿宋" w:hAnsi="仿宋" w:eastAsia="仿宋" w:cs="仿宋"/>
          <w:color w:val="auto"/>
          <w:sz w:val="24"/>
          <w:highlight w:val="none"/>
          <w:lang w:eastAsia="zh-CN"/>
        </w:rPr>
        <w:t>采购人</w:t>
      </w:r>
      <w:r>
        <w:rPr>
          <w:rStyle w:val="37"/>
          <w:rFonts w:hint="eastAsia" w:ascii="仿宋" w:hAnsi="仿宋" w:eastAsia="仿宋" w:cs="仿宋"/>
          <w:color w:val="auto"/>
          <w:sz w:val="24"/>
          <w:highlight w:val="none"/>
        </w:rPr>
        <w:t>信息</w:t>
      </w:r>
    </w:p>
    <w:p w14:paraId="06ECAAB9">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Style w:val="37"/>
          <w:rFonts w:hint="eastAsia" w:ascii="仿宋" w:hAnsi="仿宋" w:eastAsia="仿宋" w:cs="仿宋"/>
          <w:color w:val="auto"/>
          <w:sz w:val="24"/>
          <w:highlight w:val="none"/>
          <w:lang w:eastAsia="zh-CN"/>
        </w:rPr>
      </w:pPr>
      <w:r>
        <w:rPr>
          <w:rStyle w:val="37"/>
          <w:rFonts w:hint="eastAsia" w:ascii="仿宋" w:hAnsi="仿宋" w:eastAsia="仿宋" w:cs="仿宋"/>
          <w:color w:val="auto"/>
          <w:sz w:val="24"/>
          <w:highlight w:val="none"/>
        </w:rPr>
        <w:t>名称：</w:t>
      </w:r>
      <w:bookmarkStart w:id="106" w:name="_GoBack"/>
      <w:r>
        <w:rPr>
          <w:rStyle w:val="37"/>
          <w:rFonts w:hint="eastAsia" w:ascii="仿宋" w:hAnsi="仿宋" w:eastAsia="仿宋" w:cs="仿宋"/>
          <w:color w:val="auto"/>
          <w:sz w:val="24"/>
          <w:highlight w:val="none"/>
          <w:lang w:eastAsia="zh-CN"/>
        </w:rPr>
        <w:t>佛山市南海区桂城街叠北社区居民委员会</w:t>
      </w:r>
      <w:bookmarkEnd w:id="106"/>
    </w:p>
    <w:p w14:paraId="18A7EA4A">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Style w:val="37"/>
          <w:rFonts w:hint="eastAsia" w:ascii="仿宋" w:hAnsi="仿宋" w:eastAsia="仿宋" w:cs="仿宋"/>
          <w:color w:val="auto"/>
          <w:sz w:val="24"/>
          <w:highlight w:val="none"/>
          <w:lang w:eastAsia="zh-CN"/>
        </w:rPr>
      </w:pPr>
      <w:r>
        <w:rPr>
          <w:rStyle w:val="37"/>
          <w:rFonts w:hint="eastAsia" w:ascii="仿宋" w:hAnsi="仿宋" w:eastAsia="仿宋" w:cs="仿宋"/>
          <w:color w:val="auto"/>
          <w:sz w:val="24"/>
          <w:highlight w:val="none"/>
        </w:rPr>
        <w:t>地址：</w:t>
      </w:r>
      <w:r>
        <w:rPr>
          <w:rStyle w:val="37"/>
          <w:rFonts w:hint="eastAsia" w:ascii="仿宋" w:hAnsi="仿宋" w:eastAsia="仿宋" w:cs="仿宋"/>
          <w:color w:val="auto"/>
          <w:sz w:val="24"/>
          <w:highlight w:val="none"/>
          <w:lang w:val="en-US" w:eastAsia="zh-CN"/>
        </w:rPr>
        <w:t>佛山市南海区桂城街道</w:t>
      </w:r>
    </w:p>
    <w:p w14:paraId="4B8005B2">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Style w:val="37"/>
          <w:rFonts w:hint="eastAsia" w:ascii="仿宋" w:hAnsi="仿宋" w:eastAsia="仿宋" w:cs="仿宋"/>
          <w:color w:val="auto"/>
          <w:sz w:val="24"/>
          <w:highlight w:val="none"/>
        </w:rPr>
      </w:pPr>
      <w:r>
        <w:rPr>
          <w:rStyle w:val="37"/>
          <w:rFonts w:hint="eastAsia" w:ascii="仿宋" w:hAnsi="仿宋" w:eastAsia="仿宋" w:cs="仿宋"/>
          <w:color w:val="auto"/>
          <w:sz w:val="24"/>
          <w:highlight w:val="none"/>
        </w:rPr>
        <w:t>联系方式：</w:t>
      </w:r>
      <w:r>
        <w:rPr>
          <w:rStyle w:val="37"/>
          <w:rFonts w:hint="eastAsia" w:ascii="仿宋" w:hAnsi="仿宋" w:eastAsia="仿宋" w:cs="仿宋"/>
          <w:color w:val="auto"/>
          <w:sz w:val="24"/>
          <w:highlight w:val="none"/>
          <w:lang w:eastAsia="zh-CN"/>
        </w:rPr>
        <w:t>0757-</w:t>
      </w:r>
    </w:p>
    <w:p w14:paraId="42657B74">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Style w:val="37"/>
          <w:rFonts w:hint="default" w:ascii="仿宋" w:hAnsi="仿宋" w:eastAsia="仿宋" w:cs="仿宋"/>
          <w:color w:val="auto"/>
          <w:sz w:val="24"/>
          <w:highlight w:val="none"/>
          <w:lang w:val="en-US" w:eastAsia="zh-CN"/>
        </w:rPr>
      </w:pPr>
      <w:r>
        <w:rPr>
          <w:rStyle w:val="37"/>
          <w:rFonts w:hint="eastAsia" w:ascii="仿宋" w:hAnsi="仿宋" w:eastAsia="仿宋" w:cs="仿宋"/>
          <w:color w:val="auto"/>
          <w:sz w:val="24"/>
          <w:highlight w:val="none"/>
        </w:rPr>
        <w:t>项目联系人</w:t>
      </w:r>
      <w:r>
        <w:rPr>
          <w:rStyle w:val="37"/>
          <w:rFonts w:hint="eastAsia" w:ascii="仿宋" w:hAnsi="仿宋" w:eastAsia="仿宋" w:cs="仿宋"/>
          <w:color w:val="auto"/>
          <w:sz w:val="24"/>
          <w:highlight w:val="none"/>
          <w:lang w:eastAsia="zh-CN"/>
        </w:rPr>
        <w:t>：庞先生</w:t>
      </w:r>
    </w:p>
    <w:p w14:paraId="673AE6C6">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Style w:val="37"/>
          <w:rFonts w:hint="eastAsia" w:ascii="仿宋" w:hAnsi="仿宋" w:eastAsia="仿宋" w:cs="仿宋"/>
          <w:color w:val="auto"/>
          <w:sz w:val="24"/>
          <w:highlight w:val="none"/>
        </w:rPr>
      </w:pPr>
      <w:r>
        <w:rPr>
          <w:rStyle w:val="37"/>
          <w:rFonts w:hint="eastAsia" w:ascii="仿宋" w:hAnsi="仿宋" w:eastAsia="仿宋" w:cs="仿宋"/>
          <w:color w:val="auto"/>
          <w:sz w:val="24"/>
          <w:highlight w:val="none"/>
        </w:rPr>
        <w:t>2.</w:t>
      </w:r>
      <w:r>
        <w:rPr>
          <w:rStyle w:val="37"/>
          <w:rFonts w:hint="eastAsia" w:ascii="仿宋" w:hAnsi="仿宋" w:eastAsia="仿宋" w:cs="仿宋"/>
          <w:color w:val="auto"/>
          <w:sz w:val="24"/>
          <w:highlight w:val="none"/>
          <w:lang w:eastAsia="zh-CN"/>
        </w:rPr>
        <w:t>代理机构</w:t>
      </w:r>
      <w:r>
        <w:rPr>
          <w:rStyle w:val="37"/>
          <w:rFonts w:hint="eastAsia" w:ascii="仿宋" w:hAnsi="仿宋" w:eastAsia="仿宋" w:cs="仿宋"/>
          <w:color w:val="auto"/>
          <w:sz w:val="24"/>
          <w:highlight w:val="none"/>
        </w:rPr>
        <w:t>信息</w:t>
      </w:r>
    </w:p>
    <w:p w14:paraId="751A25D6">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Style w:val="37"/>
          <w:rFonts w:hint="eastAsia" w:ascii="仿宋" w:hAnsi="仿宋" w:eastAsia="仿宋" w:cs="仿宋"/>
          <w:color w:val="auto"/>
          <w:sz w:val="24"/>
          <w:highlight w:val="none"/>
        </w:rPr>
      </w:pPr>
      <w:r>
        <w:rPr>
          <w:rStyle w:val="37"/>
          <w:rFonts w:hint="eastAsia" w:ascii="仿宋" w:hAnsi="仿宋" w:eastAsia="仿宋" w:cs="仿宋"/>
          <w:color w:val="auto"/>
          <w:sz w:val="24"/>
          <w:highlight w:val="none"/>
        </w:rPr>
        <w:t>名称：广东宏正工程咨询有限公司</w:t>
      </w:r>
    </w:p>
    <w:p w14:paraId="7047D57A">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Style w:val="37"/>
          <w:rFonts w:hint="eastAsia" w:ascii="仿宋" w:hAnsi="仿宋" w:eastAsia="仿宋" w:cs="仿宋"/>
          <w:color w:val="auto"/>
          <w:sz w:val="24"/>
          <w:highlight w:val="none"/>
        </w:rPr>
      </w:pPr>
      <w:r>
        <w:rPr>
          <w:rStyle w:val="37"/>
          <w:rFonts w:hint="eastAsia" w:ascii="仿宋" w:hAnsi="仿宋" w:eastAsia="仿宋" w:cs="仿宋"/>
          <w:color w:val="auto"/>
          <w:sz w:val="24"/>
          <w:highlight w:val="none"/>
        </w:rPr>
        <w:t>地址：佛山市南海区桂城街道海五路6号城智大厦1幢10层</w:t>
      </w:r>
    </w:p>
    <w:p w14:paraId="09CAAFE8">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Style w:val="37"/>
          <w:rFonts w:hint="eastAsia" w:ascii="仿宋" w:hAnsi="仿宋" w:eastAsia="仿宋" w:cs="仿宋"/>
          <w:color w:val="auto"/>
          <w:sz w:val="24"/>
          <w:highlight w:val="none"/>
        </w:rPr>
      </w:pPr>
      <w:r>
        <w:rPr>
          <w:rStyle w:val="37"/>
          <w:rFonts w:hint="eastAsia" w:ascii="仿宋" w:hAnsi="仿宋" w:eastAsia="仿宋" w:cs="仿宋"/>
          <w:color w:val="auto"/>
          <w:sz w:val="24"/>
          <w:highlight w:val="none"/>
        </w:rPr>
        <w:t>3、项目联系方式</w:t>
      </w:r>
    </w:p>
    <w:p w14:paraId="07AF9B0D">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Style w:val="37"/>
          <w:rFonts w:hint="eastAsia" w:ascii="仿宋" w:hAnsi="仿宋" w:eastAsia="仿宋" w:cs="仿宋"/>
          <w:color w:val="auto"/>
          <w:sz w:val="24"/>
          <w:highlight w:val="none"/>
        </w:rPr>
      </w:pPr>
      <w:r>
        <w:rPr>
          <w:rStyle w:val="37"/>
          <w:rFonts w:hint="eastAsia" w:ascii="仿宋" w:hAnsi="仿宋" w:eastAsia="仿宋" w:cs="仿宋"/>
          <w:color w:val="auto"/>
          <w:sz w:val="24"/>
          <w:highlight w:val="none"/>
        </w:rPr>
        <w:t>联系方式：0757-86300101</w:t>
      </w:r>
    </w:p>
    <w:p w14:paraId="171345D4">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Style w:val="37"/>
          <w:rFonts w:hint="eastAsia" w:ascii="仿宋" w:hAnsi="仿宋" w:eastAsia="仿宋" w:cs="仿宋"/>
          <w:color w:val="auto"/>
          <w:sz w:val="24"/>
          <w:highlight w:val="none"/>
          <w:lang w:eastAsia="zh-CN"/>
        </w:rPr>
      </w:pPr>
      <w:r>
        <w:rPr>
          <w:rStyle w:val="37"/>
          <w:rFonts w:hint="eastAsia" w:ascii="仿宋" w:hAnsi="仿宋" w:eastAsia="仿宋" w:cs="仿宋"/>
          <w:color w:val="auto"/>
          <w:sz w:val="24"/>
          <w:highlight w:val="none"/>
        </w:rPr>
        <w:t>项目联系人：</w:t>
      </w:r>
      <w:r>
        <w:rPr>
          <w:rStyle w:val="37"/>
          <w:rFonts w:hint="eastAsia" w:ascii="仿宋" w:hAnsi="仿宋" w:eastAsia="仿宋" w:cs="仿宋"/>
          <w:color w:val="auto"/>
          <w:sz w:val="24"/>
          <w:highlight w:val="none"/>
          <w:lang w:eastAsia="zh-CN"/>
        </w:rPr>
        <w:t>邱先生</w:t>
      </w:r>
    </w:p>
    <w:p w14:paraId="017F3A5D">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Fonts w:hint="eastAsia" w:ascii="仿宋" w:hAnsi="仿宋" w:eastAsia="仿宋" w:cs="仿宋"/>
          <w:color w:val="auto"/>
          <w:sz w:val="24"/>
          <w:highlight w:val="none"/>
        </w:rPr>
      </w:pPr>
    </w:p>
    <w:p w14:paraId="35261124">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Fonts w:hint="eastAsia" w:ascii="仿宋" w:hAnsi="仿宋" w:eastAsia="仿宋" w:cs="仿宋"/>
          <w:color w:val="auto"/>
          <w:sz w:val="24"/>
          <w:highlight w:val="none"/>
        </w:rPr>
      </w:pPr>
    </w:p>
    <w:p w14:paraId="37671956">
      <w:pPr>
        <w:keepNext w:val="0"/>
        <w:keepLines w:val="0"/>
        <w:pageBreakBefore w:val="0"/>
        <w:widowControl w:val="0"/>
        <w:kinsoku/>
        <w:wordWrap w:val="0"/>
        <w:overflowPunct/>
        <w:topLinePunct w:val="0"/>
        <w:bidi w:val="0"/>
        <w:spacing w:line="360" w:lineRule="auto"/>
        <w:ind w:left="15" w:leftChars="7" w:right="504" w:rightChars="240" w:firstLine="624" w:firstLineChars="260"/>
        <w:jc w:val="right"/>
        <w:textAlignment w:val="auto"/>
        <w:rPr>
          <w:rStyle w:val="37"/>
          <w:rFonts w:hint="eastAsia" w:ascii="仿宋" w:hAnsi="仿宋" w:eastAsia="仿宋" w:cs="仿宋"/>
          <w:color w:val="auto"/>
          <w:sz w:val="24"/>
          <w:highlight w:val="none"/>
        </w:rPr>
      </w:pPr>
      <w:r>
        <w:rPr>
          <w:rStyle w:val="37"/>
          <w:rFonts w:hint="eastAsia" w:ascii="仿宋" w:hAnsi="仿宋" w:eastAsia="仿宋" w:cs="仿宋"/>
          <w:color w:val="auto"/>
          <w:sz w:val="24"/>
          <w:highlight w:val="none"/>
        </w:rPr>
        <w:t>时间：2025年</w:t>
      </w:r>
      <w:r>
        <w:rPr>
          <w:rStyle w:val="37"/>
          <w:rFonts w:hint="eastAsia" w:ascii="仿宋" w:hAnsi="仿宋" w:eastAsia="仿宋" w:cs="仿宋"/>
          <w:color w:val="auto"/>
          <w:sz w:val="24"/>
          <w:highlight w:val="none"/>
          <w:lang w:val="en-US" w:eastAsia="zh-CN"/>
        </w:rPr>
        <w:t xml:space="preserve">  </w:t>
      </w:r>
      <w:r>
        <w:rPr>
          <w:rStyle w:val="37"/>
          <w:rFonts w:hint="eastAsia" w:ascii="仿宋" w:hAnsi="仿宋" w:eastAsia="仿宋" w:cs="仿宋"/>
          <w:color w:val="auto"/>
          <w:sz w:val="24"/>
          <w:highlight w:val="none"/>
        </w:rPr>
        <w:t>月</w:t>
      </w:r>
      <w:r>
        <w:rPr>
          <w:rStyle w:val="37"/>
          <w:rFonts w:hint="eastAsia" w:ascii="仿宋" w:hAnsi="仿宋" w:eastAsia="仿宋" w:cs="仿宋"/>
          <w:color w:val="auto"/>
          <w:sz w:val="24"/>
          <w:highlight w:val="none"/>
          <w:lang w:val="en-US" w:eastAsia="zh-CN"/>
        </w:rPr>
        <w:t xml:space="preserve">   </w:t>
      </w:r>
      <w:r>
        <w:rPr>
          <w:rStyle w:val="37"/>
          <w:rFonts w:hint="eastAsia" w:ascii="仿宋" w:hAnsi="仿宋" w:eastAsia="仿宋" w:cs="仿宋"/>
          <w:color w:val="auto"/>
          <w:sz w:val="24"/>
          <w:highlight w:val="none"/>
        </w:rPr>
        <w:t>日</w:t>
      </w:r>
    </w:p>
    <w:p w14:paraId="3E42CD90">
      <w:pPr>
        <w:wordWrap w:val="0"/>
        <w:autoSpaceDE w:val="0"/>
        <w:autoSpaceDN w:val="0"/>
        <w:spacing w:line="360" w:lineRule="auto"/>
        <w:ind w:firstLine="536" w:firstLineChars="200"/>
        <w:rPr>
          <w:rFonts w:hint="eastAsia" w:ascii="仿宋" w:hAnsi="仿宋" w:eastAsia="仿宋" w:cs="仿宋"/>
          <w:color w:val="auto"/>
          <w:spacing w:val="14"/>
          <w:sz w:val="24"/>
          <w:highlight w:val="none"/>
        </w:rPr>
      </w:pPr>
    </w:p>
    <w:p w14:paraId="71BC4D40">
      <w:pPr>
        <w:wordWrap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0E33E98">
      <w:pPr>
        <w:pStyle w:val="59"/>
        <w:keepNext w:val="0"/>
        <w:keepLines w:val="0"/>
        <w:wordWrap w:val="0"/>
        <w:adjustRightInd w:val="0"/>
        <w:snapToGrid w:val="0"/>
        <w:spacing w:line="480" w:lineRule="auto"/>
        <w:jc w:val="both"/>
        <w:outlineLvl w:val="9"/>
        <w:rPr>
          <w:rFonts w:hint="eastAsia" w:ascii="仿宋" w:hAnsi="仿宋" w:eastAsia="仿宋" w:cs="仿宋"/>
          <w:color w:val="auto"/>
          <w:sz w:val="28"/>
          <w:szCs w:val="28"/>
          <w:highlight w:val="none"/>
        </w:rPr>
      </w:pPr>
    </w:p>
    <w:p w14:paraId="0D776312">
      <w:pPr>
        <w:pStyle w:val="59"/>
        <w:keepNext w:val="0"/>
        <w:keepLines w:val="0"/>
        <w:wordWrap w:val="0"/>
        <w:adjustRightInd w:val="0"/>
        <w:snapToGrid w:val="0"/>
        <w:spacing w:line="480" w:lineRule="auto"/>
        <w:jc w:val="both"/>
        <w:outlineLvl w:val="9"/>
        <w:rPr>
          <w:rFonts w:hint="eastAsia" w:ascii="仿宋" w:hAnsi="仿宋" w:eastAsia="仿宋" w:cs="仿宋"/>
          <w:color w:val="auto"/>
          <w:sz w:val="28"/>
          <w:szCs w:val="28"/>
          <w:highlight w:val="none"/>
        </w:rPr>
      </w:pPr>
    </w:p>
    <w:p w14:paraId="2B9AA5FB">
      <w:pPr>
        <w:pStyle w:val="59"/>
        <w:keepNext w:val="0"/>
        <w:keepLines w:val="0"/>
        <w:wordWrap w:val="0"/>
        <w:adjustRightInd w:val="0"/>
        <w:snapToGrid w:val="0"/>
        <w:spacing w:line="480" w:lineRule="auto"/>
        <w:jc w:val="both"/>
        <w:outlineLvl w:val="9"/>
        <w:rPr>
          <w:rFonts w:hint="eastAsia" w:ascii="仿宋" w:hAnsi="仿宋" w:eastAsia="仿宋" w:cs="仿宋"/>
          <w:color w:val="auto"/>
          <w:sz w:val="28"/>
          <w:szCs w:val="28"/>
          <w:highlight w:val="none"/>
        </w:rPr>
      </w:pPr>
    </w:p>
    <w:p w14:paraId="316960E5">
      <w:pPr>
        <w:pStyle w:val="59"/>
        <w:keepNext w:val="0"/>
        <w:keepLines w:val="0"/>
        <w:wordWrap w:val="0"/>
        <w:adjustRightInd w:val="0"/>
        <w:snapToGrid w:val="0"/>
        <w:spacing w:line="480" w:lineRule="auto"/>
        <w:jc w:val="both"/>
        <w:outlineLvl w:val="9"/>
        <w:rPr>
          <w:rFonts w:hint="eastAsia" w:ascii="仿宋" w:hAnsi="仿宋" w:eastAsia="仿宋" w:cs="仿宋"/>
          <w:color w:val="auto"/>
          <w:sz w:val="28"/>
          <w:szCs w:val="28"/>
          <w:highlight w:val="none"/>
        </w:rPr>
      </w:pPr>
    </w:p>
    <w:p w14:paraId="1BD6AB30">
      <w:pPr>
        <w:pStyle w:val="2"/>
        <w:keepNext w:val="0"/>
        <w:keepLines w:val="0"/>
        <w:wordWrap w:val="0"/>
        <w:adjustRightInd w:val="0"/>
        <w:snapToGrid w:val="0"/>
        <w:rPr>
          <w:rFonts w:hint="eastAsia" w:ascii="仿宋" w:hAnsi="仿宋" w:eastAsia="仿宋" w:cs="仿宋"/>
          <w:color w:val="auto"/>
          <w:sz w:val="44"/>
          <w:highlight w:val="none"/>
          <w:lang w:eastAsia="zh-CN"/>
        </w:rPr>
      </w:pPr>
      <w:bookmarkStart w:id="16" w:name="_Toc2727"/>
      <w:bookmarkStart w:id="17" w:name="_Toc2662"/>
      <w:r>
        <w:rPr>
          <w:rFonts w:hint="eastAsia" w:ascii="仿宋" w:hAnsi="仿宋" w:eastAsia="仿宋" w:cs="仿宋"/>
          <w:color w:val="auto"/>
          <w:sz w:val="44"/>
          <w:highlight w:val="none"/>
        </w:rPr>
        <w:t>第二部分　</w:t>
      </w:r>
      <w:bookmarkEnd w:id="16"/>
      <w:bookmarkEnd w:id="17"/>
      <w:r>
        <w:rPr>
          <w:rFonts w:hint="eastAsia" w:ascii="仿宋" w:hAnsi="仿宋" w:eastAsia="仿宋" w:cs="仿宋"/>
          <w:color w:val="auto"/>
          <w:sz w:val="44"/>
          <w:highlight w:val="none"/>
          <w:lang w:eastAsia="zh-CN"/>
        </w:rPr>
        <w:t>采购项目内容</w:t>
      </w:r>
    </w:p>
    <w:p w14:paraId="7D985FC3">
      <w:pPr>
        <w:wordWrap w:val="0"/>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color w:val="auto"/>
          <w:sz w:val="44"/>
          <w:highlight w:val="none"/>
        </w:rPr>
        <w:br w:type="page"/>
      </w:r>
      <w:bookmarkStart w:id="18" w:name="_Toc26940"/>
      <w:bookmarkStart w:id="19" w:name="_Toc7357"/>
      <w:bookmarkStart w:id="20" w:name="_Toc26857"/>
      <w:bookmarkStart w:id="21" w:name="_Toc1163"/>
      <w:bookmarkStart w:id="22" w:name="_Toc31681"/>
      <w:bookmarkStart w:id="23" w:name="_Toc3582"/>
      <w:bookmarkStart w:id="24" w:name="_Toc1603"/>
      <w:bookmarkStart w:id="25" w:name="_Toc31462"/>
      <w:bookmarkStart w:id="26" w:name="_Toc19912"/>
      <w:bookmarkStart w:id="27" w:name="_Toc2307"/>
      <w:bookmarkStart w:id="28" w:name="_Toc406136459"/>
      <w:bookmarkStart w:id="29" w:name="_Toc18216"/>
      <w:bookmarkStart w:id="30" w:name="_Toc26145"/>
      <w:r>
        <w:rPr>
          <w:rFonts w:hint="eastAsia" w:ascii="仿宋" w:hAnsi="仿宋" w:eastAsia="仿宋" w:cs="仿宋"/>
          <w:b/>
          <w:bCs/>
          <w:color w:val="auto"/>
          <w:sz w:val="24"/>
          <w:highlight w:val="none"/>
        </w:rPr>
        <w:t>一、</w:t>
      </w:r>
      <w:r>
        <w:rPr>
          <w:rFonts w:hint="eastAsia" w:ascii="仿宋" w:hAnsi="仿宋" w:eastAsia="仿宋" w:cs="仿宋"/>
          <w:b/>
          <w:bCs/>
          <w:color w:val="auto"/>
          <w:sz w:val="24"/>
          <w:highlight w:val="none"/>
          <w:lang w:eastAsia="zh-CN"/>
        </w:rPr>
        <w:t>投标人</w:t>
      </w:r>
      <w:r>
        <w:rPr>
          <w:rFonts w:hint="eastAsia" w:ascii="仿宋" w:hAnsi="仿宋" w:eastAsia="仿宋" w:cs="仿宋"/>
          <w:b/>
          <w:bCs/>
          <w:color w:val="auto"/>
          <w:sz w:val="24"/>
          <w:highlight w:val="none"/>
        </w:rPr>
        <w:t>资格：</w:t>
      </w:r>
    </w:p>
    <w:p w14:paraId="53F9BD69">
      <w:pPr>
        <w:wordWrap w:val="0"/>
        <w:adjustRightInd w:val="0"/>
        <w:snapToGrid w:val="0"/>
        <w:spacing w:line="360" w:lineRule="auto"/>
        <w:ind w:firstLine="547" w:firstLineChars="228"/>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详见《第一部分 </w:t>
      </w:r>
      <w:r>
        <w:rPr>
          <w:rFonts w:hint="eastAsia" w:ascii="仿宋" w:hAnsi="仿宋" w:eastAsia="仿宋" w:cs="仿宋"/>
          <w:color w:val="auto"/>
          <w:sz w:val="24"/>
          <w:highlight w:val="none"/>
          <w:lang w:eastAsia="zh-CN"/>
        </w:rPr>
        <w:t>投标邀请函</w:t>
      </w:r>
      <w:r>
        <w:rPr>
          <w:rFonts w:hint="eastAsia" w:ascii="仿宋" w:hAnsi="仿宋" w:eastAsia="仿宋" w:cs="仿宋"/>
          <w:color w:val="auto"/>
          <w:sz w:val="24"/>
          <w:highlight w:val="none"/>
        </w:rPr>
        <w:t>》。</w:t>
      </w:r>
    </w:p>
    <w:p w14:paraId="20D719C3">
      <w:pPr>
        <w:wordWrap w:val="0"/>
        <w:adjustRightInd w:val="0"/>
        <w:snapToGrid w:val="0"/>
        <w:spacing w:line="360" w:lineRule="auto"/>
        <w:ind w:firstLine="547" w:firstLineChars="228"/>
        <w:rPr>
          <w:rFonts w:hint="eastAsia" w:ascii="仿宋" w:hAnsi="仿宋" w:eastAsia="仿宋" w:cs="仿宋"/>
          <w:color w:val="auto"/>
          <w:sz w:val="24"/>
          <w:highlight w:val="none"/>
        </w:rPr>
      </w:pPr>
    </w:p>
    <w:p w14:paraId="248C4E72">
      <w:pPr>
        <w:wordWrap w:val="0"/>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w:t>
      </w:r>
      <w:r>
        <w:rPr>
          <w:rFonts w:hint="eastAsia" w:ascii="仿宋" w:hAnsi="仿宋" w:eastAsia="仿宋" w:cs="仿宋"/>
          <w:b/>
          <w:bCs/>
          <w:color w:val="auto"/>
          <w:sz w:val="24"/>
          <w:highlight w:val="none"/>
          <w:lang w:eastAsia="zh-CN"/>
        </w:rPr>
        <w:t>采购项目</w:t>
      </w:r>
      <w:r>
        <w:rPr>
          <w:rFonts w:hint="eastAsia" w:ascii="仿宋" w:hAnsi="仿宋" w:eastAsia="仿宋" w:cs="仿宋"/>
          <w:b/>
          <w:bCs/>
          <w:color w:val="auto"/>
          <w:sz w:val="24"/>
          <w:highlight w:val="none"/>
        </w:rPr>
        <w:t>商务要求</w:t>
      </w:r>
    </w:p>
    <w:p w14:paraId="6E2FD4B6">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val="en-GB" w:eastAsia="zh-CN"/>
        </w:rPr>
      </w:pPr>
      <w:r>
        <w:rPr>
          <w:rFonts w:hint="eastAsia" w:ascii="仿宋" w:hAnsi="仿宋" w:eastAsia="仿宋" w:cs="仿宋"/>
          <w:b w:val="0"/>
          <w:bCs w:val="0"/>
          <w:color w:val="auto"/>
          <w:sz w:val="24"/>
          <w:szCs w:val="24"/>
          <w:highlight w:val="none"/>
          <w:lang w:val="en-GB" w:eastAsia="zh-CN"/>
        </w:rPr>
        <w:t>（一）报价要求</w:t>
      </w:r>
    </w:p>
    <w:p w14:paraId="558B9F18">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1、预算金额：¥23,325,194.7元。</w:t>
      </w:r>
    </w:p>
    <w:p w14:paraId="6DEA227B">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2、本项目的承包方式为项目总价包干，合同金额包括：以人民币为结算单位，包括服务人员的工资、加班费、节假日补贴及节日慰问金、高温补贴、社会保险或商业保险费用、人员管理所需的管理费、服装费、防护用品、税费、培训费、保洁所需材料或工具费用、垃圾袋、设备（中转站及公厕的设备及设施损坏费用）、车辆汽油费（损耗费）、不可预见费等完成本招标内容所需的一切费用。如果中标并签署合同后，服务期限内出现的任何遗漏或因市场价格上涨，均由中标人负责，采购人都不再增加任何费用。</w:t>
      </w:r>
    </w:p>
    <w:p w14:paraId="706236F7">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（二）付款方式</w:t>
      </w:r>
    </w:p>
    <w:p w14:paraId="3C975C37">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1、双方每月核定服务费后，每月以支票或银行转账方式支付给中标人。</w:t>
      </w:r>
    </w:p>
    <w:p w14:paraId="67BEDB5B">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eastAsia="zh-CN"/>
        </w:rPr>
        <w:t>每月核定服务费方法：按月均合同金额和《月检质量检查验收标准》确定当月的服务费。具体如下：月检得分大于等于85分，按100%支付当月服务费；月检得分低于85分，按90%支付当月服务费，提留10%至年度考核，按全年（12个月）月均得分作为年度综合考核得分，分档次发放提留服务费用，具体如下：</w:t>
      </w:r>
    </w:p>
    <w:p w14:paraId="3FA096A9">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第一档：大于等于85分，按100%发放提留服务费用；</w:t>
      </w:r>
    </w:p>
    <w:p w14:paraId="4F84B02D">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第二档：75分至 85分，按80%发放提留服务费用；</w:t>
      </w:r>
    </w:p>
    <w:p w14:paraId="671AD611">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第三档：65分至 75分，按50%发放提留服务费用；</w:t>
      </w:r>
    </w:p>
    <w:p w14:paraId="6DC8B1C0">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第四档：小于65分，不合格，不发放提留服务费用且采购人有权单方面解除合同。</w:t>
      </w:r>
    </w:p>
    <w:p w14:paraId="6E48BF31">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eastAsia="zh-CN"/>
        </w:rPr>
        <w:t>月服务费的支付时间：当月服务费于次月的30日前支付。</w:t>
      </w:r>
    </w:p>
    <w:p w14:paraId="39235E40">
      <w:pPr>
        <w:widowControl/>
        <w:snapToGrid w:val="0"/>
        <w:spacing w:line="360" w:lineRule="auto"/>
        <w:ind w:left="479" w:leftChars="228" w:firstLine="0" w:firstLineChars="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lang w:eastAsia="zh-CN"/>
        </w:rPr>
        <w:t>中标人收款时必须向采购人开具所收取费用的依法纳税的全额服务发票。             （三）服务期限</w:t>
      </w:r>
    </w:p>
    <w:p w14:paraId="48AD559F">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本合同自签订之日起生效</w:t>
      </w:r>
      <w:r>
        <w:rPr>
          <w:rFonts w:hint="eastAsia" w:ascii="仿宋" w:hAnsi="仿宋" w:eastAsia="仿宋" w:cs="仿宋"/>
          <w:b w:val="0"/>
          <w:bCs w:val="0"/>
          <w:color w:val="auto"/>
          <w:sz w:val="24"/>
          <w:szCs w:val="24"/>
          <w:highlight w:val="none"/>
          <w:lang w:val="en-US" w:eastAsia="zh-CN"/>
        </w:rPr>
        <w:t>36个月</w:t>
      </w:r>
      <w:r>
        <w:rPr>
          <w:rFonts w:hint="eastAsia" w:ascii="仿宋" w:hAnsi="仿宋" w:eastAsia="仿宋" w:cs="仿宋"/>
          <w:b w:val="0"/>
          <w:bCs w:val="0"/>
          <w:color w:val="auto"/>
          <w:sz w:val="24"/>
          <w:szCs w:val="24"/>
          <w:highlight w:val="none"/>
          <w:lang w:eastAsia="zh-CN"/>
        </w:rPr>
        <w:t>。</w:t>
      </w:r>
    </w:p>
    <w:p w14:paraId="05FDF108">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（四）</w:t>
      </w:r>
      <w:r>
        <w:rPr>
          <w:rFonts w:hint="eastAsia" w:ascii="仿宋" w:hAnsi="仿宋" w:eastAsia="仿宋" w:cs="仿宋"/>
          <w:b w:val="0"/>
          <w:bCs w:val="0"/>
          <w:color w:val="auto"/>
          <w:sz w:val="24"/>
          <w:szCs w:val="24"/>
          <w:highlight w:val="none"/>
          <w:lang w:val="en-GB" w:eastAsia="zh-CN"/>
        </w:rPr>
        <w:t>服务地点</w:t>
      </w:r>
    </w:p>
    <w:p w14:paraId="622AD14F">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val="en-GB" w:eastAsia="zh-CN"/>
        </w:rPr>
      </w:pPr>
      <w:r>
        <w:rPr>
          <w:rFonts w:hint="eastAsia" w:ascii="仿宋" w:hAnsi="仿宋" w:eastAsia="仿宋" w:cs="仿宋"/>
          <w:b w:val="0"/>
          <w:bCs w:val="0"/>
          <w:color w:val="auto"/>
          <w:sz w:val="24"/>
          <w:szCs w:val="24"/>
          <w:highlight w:val="none"/>
          <w:lang w:val="en-GB" w:eastAsia="zh-CN"/>
        </w:rPr>
        <w:t>采购人（甲方）指定地点。</w:t>
      </w:r>
    </w:p>
    <w:p w14:paraId="3178F572">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（五）履约保证金</w:t>
      </w:r>
    </w:p>
    <w:p w14:paraId="7256F700">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1、签订合同后10个工作日内，中标人须向采购人支付首年服务费的5%作为履约保证金。</w:t>
      </w:r>
    </w:p>
    <w:p w14:paraId="62D4FDBF">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2、交纳方式：中标人自主选择以支票、汇票、本票、保函等非现金形式提交履约保证金。</w:t>
      </w:r>
    </w:p>
    <w:p w14:paraId="469B50F4">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3、若中标人不按要求缴纳履约保证金的，将视作中标人违约，采购人有权解除合同。 </w:t>
      </w:r>
    </w:p>
    <w:p w14:paraId="7BE91786">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4、采用保函形式提交履约保证金的，须为见索即付保函，保函的有效期应当覆盖合同期，履约保函的格式须经采购人确认后方可开具，当项目实施过程中保函剩余有效期不足60日时，中标人应当适当延长保函有效期或重新提交履约保证金。</w:t>
      </w:r>
    </w:p>
    <w:p w14:paraId="73434E5B">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CN"/>
        </w:rPr>
        <w:t>退还规定：合同期满，中标人全部合同义务履行完毕，无违约责任或违约责任已处理完成，采购人在本条款（1）和（2）条件达成之日起</w:t>
      </w:r>
      <w:r>
        <w:rPr>
          <w:rFonts w:hint="eastAsia" w:ascii="仿宋" w:hAnsi="仿宋" w:eastAsia="仿宋" w:cs="仿宋"/>
          <w:b w:val="0"/>
          <w:bCs w:val="0"/>
          <w:color w:val="auto"/>
          <w:sz w:val="24"/>
          <w:szCs w:val="24"/>
          <w:highlight w:val="none"/>
          <w:lang w:val="en-US" w:eastAsia="zh-CN"/>
        </w:rPr>
        <w:t>15</w:t>
      </w:r>
      <w:r>
        <w:rPr>
          <w:rFonts w:hint="eastAsia" w:ascii="仿宋" w:hAnsi="仿宋" w:eastAsia="仿宋" w:cs="仿宋"/>
          <w:b w:val="0"/>
          <w:bCs w:val="0"/>
          <w:color w:val="auto"/>
          <w:sz w:val="24"/>
          <w:szCs w:val="24"/>
          <w:highlight w:val="none"/>
          <w:lang w:eastAsia="zh-CN"/>
        </w:rPr>
        <w:t>日内以非现金形式一次性无息退还履约保证金（如发生违约情形，则为扣除违约金后的金额）给中标人。（注：采购人在规定时间内向支付部门提出退还申请手续即视为采购人已经按期退还。以保函形式递交履约保证金的，该保函在上述时间之后自动失效，视为已退还。）</w:t>
      </w:r>
    </w:p>
    <w:p w14:paraId="011C7143">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（1）已妥善处理本项目的债权债务（工资、材料费、社保及其他欠款）；</w:t>
      </w:r>
    </w:p>
    <w:p w14:paraId="63B2BFAB">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（2）须做好交接期各项工作，相关管理工作顺利交接。</w:t>
      </w:r>
    </w:p>
    <w:p w14:paraId="138FDBCA">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lang w:val="en-US" w:eastAsia="zh-CN"/>
        </w:rPr>
      </w:pPr>
    </w:p>
    <w:p w14:paraId="081502D8">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2F960897">
      <w:pPr>
        <w:wordWrap w:val="0"/>
        <w:adjustRightInd w:val="0"/>
        <w:snapToGrid w:val="0"/>
        <w:spacing w:line="360" w:lineRule="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三、</w:t>
      </w:r>
      <w:r>
        <w:rPr>
          <w:rFonts w:hint="eastAsia" w:ascii="仿宋" w:hAnsi="仿宋" w:eastAsia="仿宋" w:cs="仿宋"/>
          <w:b/>
          <w:bCs/>
          <w:color w:val="auto"/>
          <w:sz w:val="24"/>
          <w:highlight w:val="none"/>
          <w:lang w:eastAsia="zh-CN"/>
        </w:rPr>
        <w:t>采购项目服务要求</w:t>
      </w:r>
    </w:p>
    <w:p w14:paraId="00A2F530">
      <w:pPr>
        <w:widowControl/>
        <w:snapToGrid w:val="0"/>
        <w:spacing w:line="360" w:lineRule="auto"/>
        <w:ind w:firstLine="482" w:firstLineChars="200"/>
        <w:jc w:val="left"/>
        <w:rPr>
          <w:rFonts w:hint="eastAsia" w:ascii="仿宋" w:hAnsi="仿宋" w:eastAsia="仿宋"/>
          <w:b/>
          <w:bCs/>
          <w:color w:val="auto"/>
          <w:sz w:val="24"/>
          <w:highlight w:val="none"/>
        </w:rPr>
      </w:pPr>
      <w:r>
        <w:rPr>
          <w:rFonts w:hint="eastAsia" w:ascii="仿宋" w:hAnsi="仿宋" w:eastAsia="仿宋"/>
          <w:b/>
          <w:bCs/>
          <w:color w:val="auto"/>
          <w:sz w:val="24"/>
          <w:highlight w:val="none"/>
          <w:lang w:val="en-US" w:eastAsia="zh-CN"/>
        </w:rPr>
        <w:t>（一）</w:t>
      </w:r>
      <w:r>
        <w:rPr>
          <w:rFonts w:hint="eastAsia" w:ascii="仿宋" w:hAnsi="仿宋" w:eastAsia="仿宋"/>
          <w:b/>
          <w:bCs/>
          <w:color w:val="auto"/>
          <w:sz w:val="24"/>
          <w:highlight w:val="none"/>
        </w:rPr>
        <w:t>服务内容概述</w:t>
      </w:r>
    </w:p>
    <w:p w14:paraId="4B7E1509">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根据生活垃圾谁产生谁负责的原则及做好桂城街道城乡环境管理改革工作。为确保叠北社区范围生活居住、营商环境的品质，进一步做好社区环境管理工作，有效深化推进由桂城街道统筹的市政公用事业下放管理以及加快推进政府职能转变。</w:t>
      </w:r>
    </w:p>
    <w:p w14:paraId="455FC8F6">
      <w:pPr>
        <w:widowControl/>
        <w:snapToGrid w:val="0"/>
        <w:spacing w:line="360" w:lineRule="auto"/>
        <w:ind w:firstLine="482" w:firstLineChars="200"/>
        <w:jc w:val="left"/>
        <w:rPr>
          <w:rFonts w:hint="eastAsia"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（二）具体服务内容清单</w:t>
      </w:r>
    </w:p>
    <w:tbl>
      <w:tblPr>
        <w:tblStyle w:val="24"/>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4861"/>
        <w:gridCol w:w="728"/>
        <w:gridCol w:w="1720"/>
        <w:gridCol w:w="1716"/>
      </w:tblGrid>
      <w:tr w14:paraId="0C04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7A779491">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序号</w:t>
            </w:r>
          </w:p>
        </w:tc>
        <w:tc>
          <w:tcPr>
            <w:tcW w:w="2445" w:type="pct"/>
            <w:vAlign w:val="center"/>
          </w:tcPr>
          <w:p w14:paraId="147EE885">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项目名称</w:t>
            </w:r>
          </w:p>
        </w:tc>
        <w:tc>
          <w:tcPr>
            <w:tcW w:w="366" w:type="pct"/>
            <w:vAlign w:val="center"/>
          </w:tcPr>
          <w:p w14:paraId="7AA38A9C">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单位</w:t>
            </w:r>
          </w:p>
        </w:tc>
        <w:tc>
          <w:tcPr>
            <w:tcW w:w="865" w:type="pct"/>
            <w:vAlign w:val="center"/>
          </w:tcPr>
          <w:p w14:paraId="02C0C386">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工作量</w:t>
            </w:r>
          </w:p>
        </w:tc>
        <w:tc>
          <w:tcPr>
            <w:tcW w:w="861" w:type="pct"/>
            <w:vAlign w:val="center"/>
          </w:tcPr>
          <w:p w14:paraId="2484164F">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备注</w:t>
            </w:r>
          </w:p>
        </w:tc>
      </w:tr>
      <w:tr w14:paraId="038B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00" w:type="pct"/>
            <w:gridSpan w:val="5"/>
            <w:vAlign w:val="center"/>
          </w:tcPr>
          <w:p w14:paraId="07FF22A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一、环卫作业</w:t>
            </w:r>
          </w:p>
        </w:tc>
      </w:tr>
      <w:tr w14:paraId="6879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6719879C">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1</w:t>
            </w:r>
          </w:p>
        </w:tc>
        <w:tc>
          <w:tcPr>
            <w:tcW w:w="2445" w:type="pct"/>
            <w:vAlign w:val="center"/>
          </w:tcPr>
          <w:p w14:paraId="79BC2F3A">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一类道路人工清扫保洁</w:t>
            </w:r>
          </w:p>
        </w:tc>
        <w:tc>
          <w:tcPr>
            <w:tcW w:w="366" w:type="pct"/>
            <w:vAlign w:val="center"/>
          </w:tcPr>
          <w:p w14:paraId="7FAFCB15">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w:t>
            </w:r>
          </w:p>
        </w:tc>
        <w:tc>
          <w:tcPr>
            <w:tcW w:w="865" w:type="pct"/>
            <w:vAlign w:val="center"/>
          </w:tcPr>
          <w:p w14:paraId="753FD888">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138626.47</w:t>
            </w:r>
          </w:p>
        </w:tc>
        <w:tc>
          <w:tcPr>
            <w:tcW w:w="861" w:type="pct"/>
            <w:vAlign w:val="center"/>
          </w:tcPr>
          <w:p w14:paraId="5209BFA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r>
      <w:tr w14:paraId="7F4E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1B55D533">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2</w:t>
            </w:r>
          </w:p>
        </w:tc>
        <w:tc>
          <w:tcPr>
            <w:tcW w:w="2445" w:type="pct"/>
            <w:vAlign w:val="center"/>
          </w:tcPr>
          <w:p w14:paraId="46D120E5">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二类道路人工清扫保洁</w:t>
            </w:r>
          </w:p>
        </w:tc>
        <w:tc>
          <w:tcPr>
            <w:tcW w:w="366" w:type="pct"/>
            <w:vAlign w:val="center"/>
          </w:tcPr>
          <w:p w14:paraId="71322CC4">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w:t>
            </w:r>
          </w:p>
        </w:tc>
        <w:tc>
          <w:tcPr>
            <w:tcW w:w="865" w:type="pct"/>
            <w:vAlign w:val="center"/>
          </w:tcPr>
          <w:p w14:paraId="6829E69C">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322644.36</w:t>
            </w:r>
          </w:p>
        </w:tc>
        <w:tc>
          <w:tcPr>
            <w:tcW w:w="861" w:type="pct"/>
            <w:vAlign w:val="center"/>
          </w:tcPr>
          <w:p w14:paraId="5EF84CE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r>
      <w:tr w14:paraId="4A48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2982C1DC">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3</w:t>
            </w:r>
          </w:p>
        </w:tc>
        <w:tc>
          <w:tcPr>
            <w:tcW w:w="2445" w:type="pct"/>
            <w:vAlign w:val="center"/>
          </w:tcPr>
          <w:p w14:paraId="54A36574">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果皮箱保洁与维护</w:t>
            </w:r>
          </w:p>
        </w:tc>
        <w:tc>
          <w:tcPr>
            <w:tcW w:w="366" w:type="pct"/>
            <w:vAlign w:val="center"/>
          </w:tcPr>
          <w:p w14:paraId="48E987A9">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组</w:t>
            </w:r>
          </w:p>
        </w:tc>
        <w:tc>
          <w:tcPr>
            <w:tcW w:w="865" w:type="pct"/>
            <w:vAlign w:val="center"/>
          </w:tcPr>
          <w:p w14:paraId="792BE0A6">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48</w:t>
            </w:r>
          </w:p>
        </w:tc>
        <w:tc>
          <w:tcPr>
            <w:tcW w:w="861" w:type="pct"/>
            <w:vAlign w:val="center"/>
          </w:tcPr>
          <w:p w14:paraId="0E1A690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r>
      <w:tr w14:paraId="6F3B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1E7E6025">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4</w:t>
            </w:r>
          </w:p>
        </w:tc>
        <w:tc>
          <w:tcPr>
            <w:tcW w:w="2445" w:type="pct"/>
            <w:vAlign w:val="center"/>
          </w:tcPr>
          <w:p w14:paraId="0187130F">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农村公厕</w:t>
            </w:r>
          </w:p>
        </w:tc>
        <w:tc>
          <w:tcPr>
            <w:tcW w:w="366" w:type="pct"/>
            <w:vAlign w:val="center"/>
          </w:tcPr>
          <w:p w14:paraId="4D850410">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座</w:t>
            </w:r>
          </w:p>
        </w:tc>
        <w:tc>
          <w:tcPr>
            <w:tcW w:w="865" w:type="pct"/>
            <w:vAlign w:val="center"/>
          </w:tcPr>
          <w:p w14:paraId="0DEE8453">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11</w:t>
            </w:r>
          </w:p>
        </w:tc>
        <w:tc>
          <w:tcPr>
            <w:tcW w:w="861" w:type="pct"/>
            <w:vAlign w:val="center"/>
          </w:tcPr>
          <w:p w14:paraId="75EA6DF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r>
      <w:tr w14:paraId="3E04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01EC9C0C">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2445" w:type="pct"/>
            <w:vAlign w:val="center"/>
          </w:tcPr>
          <w:p w14:paraId="79453A5B">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内河涌保洁</w:t>
            </w:r>
          </w:p>
        </w:tc>
        <w:tc>
          <w:tcPr>
            <w:tcW w:w="366" w:type="pct"/>
            <w:vAlign w:val="center"/>
          </w:tcPr>
          <w:p w14:paraId="5BFEC622">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km</w:t>
            </w:r>
          </w:p>
        </w:tc>
        <w:tc>
          <w:tcPr>
            <w:tcW w:w="865" w:type="pct"/>
            <w:vAlign w:val="center"/>
          </w:tcPr>
          <w:p w14:paraId="41256190">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861" w:type="pct"/>
            <w:vAlign w:val="center"/>
          </w:tcPr>
          <w:p w14:paraId="0EEEEC3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r>
      <w:tr w14:paraId="366E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183C1BC6">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6</w:t>
            </w:r>
          </w:p>
        </w:tc>
        <w:tc>
          <w:tcPr>
            <w:tcW w:w="2445" w:type="pct"/>
            <w:vAlign w:val="center"/>
          </w:tcPr>
          <w:p w14:paraId="1D1142C3">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非地埋式垃圾中转站维护</w:t>
            </w:r>
          </w:p>
        </w:tc>
        <w:tc>
          <w:tcPr>
            <w:tcW w:w="366" w:type="pct"/>
            <w:vAlign w:val="center"/>
          </w:tcPr>
          <w:p w14:paraId="7601EA79">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座</w:t>
            </w:r>
          </w:p>
        </w:tc>
        <w:tc>
          <w:tcPr>
            <w:tcW w:w="865" w:type="pct"/>
            <w:vAlign w:val="center"/>
          </w:tcPr>
          <w:p w14:paraId="7DD5EA0F">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1</w:t>
            </w:r>
          </w:p>
        </w:tc>
        <w:tc>
          <w:tcPr>
            <w:tcW w:w="861" w:type="pct"/>
            <w:vAlign w:val="center"/>
          </w:tcPr>
          <w:p w14:paraId="478429A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r>
      <w:tr w14:paraId="4DB6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461C83CC">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7</w:t>
            </w:r>
          </w:p>
        </w:tc>
        <w:tc>
          <w:tcPr>
            <w:tcW w:w="2445" w:type="pct"/>
            <w:vAlign w:val="center"/>
          </w:tcPr>
          <w:p w14:paraId="6165ADB4">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渣土余泥、装修垃圾、大件家私等垃圾收集运输</w:t>
            </w:r>
          </w:p>
        </w:tc>
        <w:tc>
          <w:tcPr>
            <w:tcW w:w="366" w:type="pct"/>
            <w:vAlign w:val="center"/>
          </w:tcPr>
          <w:p w14:paraId="3B30E456">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t</w:t>
            </w:r>
          </w:p>
        </w:tc>
        <w:tc>
          <w:tcPr>
            <w:tcW w:w="865" w:type="pct"/>
            <w:vAlign w:val="center"/>
          </w:tcPr>
          <w:p w14:paraId="2669F98A">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3</w:t>
            </w:r>
          </w:p>
        </w:tc>
        <w:tc>
          <w:tcPr>
            <w:tcW w:w="861" w:type="pct"/>
            <w:vAlign w:val="center"/>
          </w:tcPr>
          <w:p w14:paraId="39E5CE4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r>
      <w:tr w14:paraId="35BF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00" w:type="pct"/>
            <w:gridSpan w:val="5"/>
            <w:vAlign w:val="center"/>
          </w:tcPr>
          <w:p w14:paraId="5BA9F26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二、农村社区园林绿化养护</w:t>
            </w:r>
          </w:p>
        </w:tc>
      </w:tr>
      <w:tr w14:paraId="2FFB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4889B469">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1</w:t>
            </w:r>
          </w:p>
        </w:tc>
        <w:tc>
          <w:tcPr>
            <w:tcW w:w="2445" w:type="pct"/>
            <w:vAlign w:val="center"/>
          </w:tcPr>
          <w:p w14:paraId="7A4F25EF">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行道树定植第六至二十年（二级养护）</w:t>
            </w:r>
          </w:p>
        </w:tc>
        <w:tc>
          <w:tcPr>
            <w:tcW w:w="366" w:type="pct"/>
            <w:vAlign w:val="center"/>
          </w:tcPr>
          <w:p w14:paraId="51981683">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株</w:t>
            </w:r>
          </w:p>
        </w:tc>
        <w:tc>
          <w:tcPr>
            <w:tcW w:w="865" w:type="pct"/>
            <w:vAlign w:val="center"/>
          </w:tcPr>
          <w:p w14:paraId="022776E8">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142</w:t>
            </w:r>
          </w:p>
        </w:tc>
        <w:tc>
          <w:tcPr>
            <w:tcW w:w="861" w:type="pct"/>
            <w:vAlign w:val="center"/>
          </w:tcPr>
          <w:p w14:paraId="6E830405">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olor w:val="auto"/>
                <w:sz w:val="24"/>
                <w:highlight w:val="none"/>
              </w:rPr>
            </w:pPr>
          </w:p>
        </w:tc>
      </w:tr>
      <w:tr w14:paraId="1F40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4C853437">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2</w:t>
            </w:r>
          </w:p>
        </w:tc>
        <w:tc>
          <w:tcPr>
            <w:tcW w:w="2445" w:type="pct"/>
            <w:shd w:val="clear" w:color="auto" w:fill="auto"/>
            <w:vAlign w:val="center"/>
          </w:tcPr>
          <w:p w14:paraId="33E35B57">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highlight w:val="none"/>
              </w:rPr>
              <w:t>绿地养护（二级养护）</w:t>
            </w:r>
          </w:p>
        </w:tc>
        <w:tc>
          <w:tcPr>
            <w:tcW w:w="366" w:type="pct"/>
            <w:shd w:val="clear" w:color="auto" w:fill="auto"/>
            <w:vAlign w:val="center"/>
          </w:tcPr>
          <w:p w14:paraId="48A0FDC2">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highlight w:val="none"/>
              </w:rPr>
              <w:t>㎡</w:t>
            </w:r>
          </w:p>
        </w:tc>
        <w:tc>
          <w:tcPr>
            <w:tcW w:w="865" w:type="pct"/>
            <w:shd w:val="clear" w:color="auto" w:fill="auto"/>
            <w:vAlign w:val="center"/>
          </w:tcPr>
          <w:p w14:paraId="08A9DCAD">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highlight w:val="none"/>
              </w:rPr>
              <w:t>8018</w:t>
            </w:r>
          </w:p>
        </w:tc>
        <w:tc>
          <w:tcPr>
            <w:tcW w:w="861" w:type="pct"/>
            <w:vAlign w:val="center"/>
          </w:tcPr>
          <w:p w14:paraId="53EF8C30">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olor w:val="auto"/>
                <w:sz w:val="24"/>
                <w:highlight w:val="none"/>
              </w:rPr>
            </w:pPr>
          </w:p>
        </w:tc>
      </w:tr>
      <w:tr w14:paraId="107F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594F9342">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3</w:t>
            </w:r>
          </w:p>
        </w:tc>
        <w:tc>
          <w:tcPr>
            <w:tcW w:w="2445" w:type="pct"/>
            <w:vAlign w:val="center"/>
          </w:tcPr>
          <w:p w14:paraId="1EE28AE4">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绿地乔木</w:t>
            </w:r>
          </w:p>
        </w:tc>
        <w:tc>
          <w:tcPr>
            <w:tcW w:w="366" w:type="pct"/>
            <w:shd w:val="clear" w:color="auto" w:fill="auto"/>
            <w:vAlign w:val="center"/>
          </w:tcPr>
          <w:p w14:paraId="2EBE30AD">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highlight w:val="none"/>
              </w:rPr>
              <w:t>株</w:t>
            </w:r>
          </w:p>
        </w:tc>
        <w:tc>
          <w:tcPr>
            <w:tcW w:w="865" w:type="pct"/>
            <w:shd w:val="clear" w:color="auto" w:fill="auto"/>
            <w:vAlign w:val="center"/>
          </w:tcPr>
          <w:p w14:paraId="078BF1CF">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highlight w:val="none"/>
              </w:rPr>
              <w:t>222</w:t>
            </w:r>
          </w:p>
        </w:tc>
        <w:tc>
          <w:tcPr>
            <w:tcW w:w="861" w:type="pct"/>
            <w:vAlign w:val="center"/>
          </w:tcPr>
          <w:p w14:paraId="574930F8">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olor w:val="auto"/>
                <w:sz w:val="24"/>
                <w:highlight w:val="none"/>
              </w:rPr>
            </w:pPr>
          </w:p>
        </w:tc>
      </w:tr>
      <w:tr w14:paraId="77AF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324FCC9A">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4</w:t>
            </w:r>
          </w:p>
        </w:tc>
        <w:tc>
          <w:tcPr>
            <w:tcW w:w="2445" w:type="pct"/>
            <w:shd w:val="clear" w:color="auto" w:fill="auto"/>
            <w:vAlign w:val="center"/>
          </w:tcPr>
          <w:p w14:paraId="6A227C76">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highlight w:val="none"/>
              </w:rPr>
              <w:t>绿地灌木</w:t>
            </w:r>
          </w:p>
        </w:tc>
        <w:tc>
          <w:tcPr>
            <w:tcW w:w="366" w:type="pct"/>
            <w:shd w:val="clear" w:color="auto" w:fill="auto"/>
            <w:vAlign w:val="center"/>
          </w:tcPr>
          <w:p w14:paraId="209F130E">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highlight w:val="none"/>
              </w:rPr>
              <w:t>株</w:t>
            </w:r>
          </w:p>
        </w:tc>
        <w:tc>
          <w:tcPr>
            <w:tcW w:w="865" w:type="pct"/>
            <w:shd w:val="clear" w:color="auto" w:fill="auto"/>
            <w:vAlign w:val="center"/>
          </w:tcPr>
          <w:p w14:paraId="022F45F3">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highlight w:val="none"/>
              </w:rPr>
              <w:t>125</w:t>
            </w:r>
          </w:p>
        </w:tc>
        <w:tc>
          <w:tcPr>
            <w:tcW w:w="861" w:type="pct"/>
            <w:vAlign w:val="center"/>
          </w:tcPr>
          <w:p w14:paraId="33DAA2DC">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olor w:val="auto"/>
                <w:sz w:val="24"/>
                <w:highlight w:val="none"/>
              </w:rPr>
            </w:pPr>
          </w:p>
        </w:tc>
      </w:tr>
      <w:tr w14:paraId="4C70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473C541C">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2445" w:type="pct"/>
            <w:vAlign w:val="center"/>
          </w:tcPr>
          <w:p w14:paraId="091ECB6B">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农村公园硬地保洁</w:t>
            </w:r>
          </w:p>
        </w:tc>
        <w:tc>
          <w:tcPr>
            <w:tcW w:w="366" w:type="pct"/>
            <w:vAlign w:val="center"/>
          </w:tcPr>
          <w:p w14:paraId="201FBD68">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w:t>
            </w:r>
          </w:p>
        </w:tc>
        <w:tc>
          <w:tcPr>
            <w:tcW w:w="865" w:type="pct"/>
            <w:vAlign w:val="center"/>
          </w:tcPr>
          <w:p w14:paraId="14867A8F">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2260</w:t>
            </w:r>
          </w:p>
        </w:tc>
        <w:tc>
          <w:tcPr>
            <w:tcW w:w="861" w:type="pct"/>
            <w:vAlign w:val="center"/>
          </w:tcPr>
          <w:p w14:paraId="249E0AAA">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olor w:val="auto"/>
                <w:sz w:val="24"/>
                <w:highlight w:val="none"/>
              </w:rPr>
            </w:pPr>
          </w:p>
        </w:tc>
      </w:tr>
      <w:tr w14:paraId="17E0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000" w:type="pct"/>
            <w:gridSpan w:val="5"/>
            <w:vAlign w:val="center"/>
          </w:tcPr>
          <w:p w14:paraId="49D0223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三、农村社区排水井盖及底座管理与维护</w:t>
            </w:r>
          </w:p>
        </w:tc>
      </w:tr>
      <w:tr w14:paraId="3F50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64D9A1FB">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1</w:t>
            </w:r>
          </w:p>
        </w:tc>
        <w:tc>
          <w:tcPr>
            <w:tcW w:w="2445" w:type="pct"/>
            <w:vAlign w:val="center"/>
          </w:tcPr>
          <w:p w14:paraId="1879D702">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铸铁沙井盖及座　DN200-500mm</w:t>
            </w:r>
          </w:p>
        </w:tc>
        <w:tc>
          <w:tcPr>
            <w:tcW w:w="366" w:type="pct"/>
            <w:vAlign w:val="center"/>
          </w:tcPr>
          <w:p w14:paraId="528D7B0B">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座</w:t>
            </w:r>
          </w:p>
        </w:tc>
        <w:tc>
          <w:tcPr>
            <w:tcW w:w="865" w:type="pct"/>
            <w:vAlign w:val="center"/>
          </w:tcPr>
          <w:p w14:paraId="19476C1C">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3007</w:t>
            </w:r>
          </w:p>
        </w:tc>
        <w:tc>
          <w:tcPr>
            <w:tcW w:w="861" w:type="pct"/>
            <w:vAlign w:val="center"/>
          </w:tcPr>
          <w:p w14:paraId="5CD772CE">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olor w:val="auto"/>
                <w:sz w:val="24"/>
                <w:highlight w:val="none"/>
              </w:rPr>
            </w:pPr>
          </w:p>
        </w:tc>
      </w:tr>
      <w:tr w14:paraId="0753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367CE17A">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2</w:t>
            </w:r>
          </w:p>
        </w:tc>
        <w:tc>
          <w:tcPr>
            <w:tcW w:w="2445" w:type="pct"/>
            <w:vAlign w:val="center"/>
          </w:tcPr>
          <w:p w14:paraId="28E951B6">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铸铁沙井盖及座　DN500-700mm</w:t>
            </w:r>
          </w:p>
        </w:tc>
        <w:tc>
          <w:tcPr>
            <w:tcW w:w="366" w:type="pct"/>
            <w:vAlign w:val="center"/>
          </w:tcPr>
          <w:p w14:paraId="74019D05">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座</w:t>
            </w:r>
          </w:p>
        </w:tc>
        <w:tc>
          <w:tcPr>
            <w:tcW w:w="865" w:type="pct"/>
            <w:vAlign w:val="center"/>
          </w:tcPr>
          <w:p w14:paraId="68F2DFDE">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287</w:t>
            </w:r>
          </w:p>
        </w:tc>
        <w:tc>
          <w:tcPr>
            <w:tcW w:w="861" w:type="pct"/>
            <w:vAlign w:val="center"/>
          </w:tcPr>
          <w:p w14:paraId="1A9A39CE">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olor w:val="auto"/>
                <w:sz w:val="24"/>
                <w:highlight w:val="none"/>
              </w:rPr>
            </w:pPr>
          </w:p>
        </w:tc>
      </w:tr>
      <w:tr w14:paraId="5017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3F3CBA37">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3</w:t>
            </w:r>
          </w:p>
        </w:tc>
        <w:tc>
          <w:tcPr>
            <w:tcW w:w="2445" w:type="pct"/>
            <w:vAlign w:val="center"/>
          </w:tcPr>
          <w:p w14:paraId="19F98E5A">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铸铁平入式收水口及座200mm×500mm</w:t>
            </w:r>
          </w:p>
        </w:tc>
        <w:tc>
          <w:tcPr>
            <w:tcW w:w="366" w:type="pct"/>
            <w:vAlign w:val="center"/>
          </w:tcPr>
          <w:p w14:paraId="0F07CACB">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座</w:t>
            </w:r>
          </w:p>
        </w:tc>
        <w:tc>
          <w:tcPr>
            <w:tcW w:w="865" w:type="pct"/>
            <w:vAlign w:val="center"/>
          </w:tcPr>
          <w:p w14:paraId="71EE0F27">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948</w:t>
            </w:r>
          </w:p>
        </w:tc>
        <w:tc>
          <w:tcPr>
            <w:tcW w:w="861" w:type="pct"/>
            <w:vAlign w:val="center"/>
          </w:tcPr>
          <w:p w14:paraId="1F1B8A57">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olor w:val="auto"/>
                <w:sz w:val="24"/>
                <w:highlight w:val="none"/>
              </w:rPr>
            </w:pPr>
          </w:p>
        </w:tc>
      </w:tr>
      <w:tr w14:paraId="5947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16171774">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4</w:t>
            </w:r>
          </w:p>
        </w:tc>
        <w:tc>
          <w:tcPr>
            <w:tcW w:w="2445" w:type="pct"/>
            <w:vAlign w:val="center"/>
          </w:tcPr>
          <w:p w14:paraId="1902AD73">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铸铁平入式收水口及座300mm×600mm</w:t>
            </w:r>
          </w:p>
        </w:tc>
        <w:tc>
          <w:tcPr>
            <w:tcW w:w="366" w:type="pct"/>
            <w:vAlign w:val="center"/>
          </w:tcPr>
          <w:p w14:paraId="7F7D2E55">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座</w:t>
            </w:r>
          </w:p>
        </w:tc>
        <w:tc>
          <w:tcPr>
            <w:tcW w:w="865" w:type="pct"/>
            <w:vAlign w:val="center"/>
          </w:tcPr>
          <w:p w14:paraId="4C4CC236">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15</w:t>
            </w:r>
          </w:p>
        </w:tc>
        <w:tc>
          <w:tcPr>
            <w:tcW w:w="861" w:type="pct"/>
            <w:vAlign w:val="center"/>
          </w:tcPr>
          <w:p w14:paraId="292B7D9F">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olor w:val="auto"/>
                <w:sz w:val="24"/>
                <w:highlight w:val="none"/>
              </w:rPr>
            </w:pPr>
          </w:p>
        </w:tc>
      </w:tr>
      <w:tr w14:paraId="7C19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680F9169">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2445" w:type="pct"/>
            <w:vAlign w:val="center"/>
          </w:tcPr>
          <w:p w14:paraId="642EAAD7">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水泥构件沙井盖及座　DN200-500mm</w:t>
            </w:r>
          </w:p>
        </w:tc>
        <w:tc>
          <w:tcPr>
            <w:tcW w:w="366" w:type="pct"/>
            <w:vAlign w:val="center"/>
          </w:tcPr>
          <w:p w14:paraId="023EA2F0">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座</w:t>
            </w:r>
          </w:p>
        </w:tc>
        <w:tc>
          <w:tcPr>
            <w:tcW w:w="865" w:type="pct"/>
            <w:vAlign w:val="center"/>
          </w:tcPr>
          <w:p w14:paraId="5196B023">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89</w:t>
            </w:r>
          </w:p>
        </w:tc>
        <w:tc>
          <w:tcPr>
            <w:tcW w:w="861" w:type="pct"/>
            <w:vAlign w:val="center"/>
          </w:tcPr>
          <w:p w14:paraId="76C93548">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olor w:val="auto"/>
                <w:sz w:val="24"/>
                <w:highlight w:val="none"/>
              </w:rPr>
            </w:pPr>
          </w:p>
        </w:tc>
      </w:tr>
      <w:tr w14:paraId="0692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4AA0B67F">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6</w:t>
            </w:r>
          </w:p>
        </w:tc>
        <w:tc>
          <w:tcPr>
            <w:tcW w:w="2445" w:type="pct"/>
            <w:vAlign w:val="center"/>
          </w:tcPr>
          <w:p w14:paraId="674D939E">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水泥构件沙井盖及座　DN500-700mm</w:t>
            </w:r>
          </w:p>
        </w:tc>
        <w:tc>
          <w:tcPr>
            <w:tcW w:w="366" w:type="pct"/>
            <w:vAlign w:val="center"/>
          </w:tcPr>
          <w:p w14:paraId="6B8B3EAA">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座</w:t>
            </w:r>
          </w:p>
        </w:tc>
        <w:tc>
          <w:tcPr>
            <w:tcW w:w="865" w:type="pct"/>
            <w:vAlign w:val="center"/>
          </w:tcPr>
          <w:p w14:paraId="4A24E93C">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297</w:t>
            </w:r>
          </w:p>
        </w:tc>
        <w:tc>
          <w:tcPr>
            <w:tcW w:w="861" w:type="pct"/>
            <w:vAlign w:val="center"/>
          </w:tcPr>
          <w:p w14:paraId="290EC727">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olor w:val="auto"/>
                <w:sz w:val="24"/>
                <w:highlight w:val="none"/>
              </w:rPr>
            </w:pPr>
          </w:p>
        </w:tc>
      </w:tr>
      <w:tr w14:paraId="33E7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28B36CC8">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7</w:t>
            </w:r>
          </w:p>
        </w:tc>
        <w:tc>
          <w:tcPr>
            <w:tcW w:w="2445" w:type="pct"/>
            <w:vAlign w:val="center"/>
          </w:tcPr>
          <w:p w14:paraId="09947BC7">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水泥构件平入式收水口及座200mm×500mm</w:t>
            </w:r>
          </w:p>
        </w:tc>
        <w:tc>
          <w:tcPr>
            <w:tcW w:w="366" w:type="pct"/>
            <w:vAlign w:val="center"/>
          </w:tcPr>
          <w:p w14:paraId="19BEB837">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座</w:t>
            </w:r>
          </w:p>
        </w:tc>
        <w:tc>
          <w:tcPr>
            <w:tcW w:w="865" w:type="pct"/>
            <w:vAlign w:val="center"/>
          </w:tcPr>
          <w:p w14:paraId="65C15C1B">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305</w:t>
            </w:r>
          </w:p>
        </w:tc>
        <w:tc>
          <w:tcPr>
            <w:tcW w:w="861" w:type="pct"/>
            <w:vAlign w:val="center"/>
          </w:tcPr>
          <w:p w14:paraId="7C30B5BB">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olor w:val="auto"/>
                <w:sz w:val="24"/>
                <w:highlight w:val="none"/>
              </w:rPr>
            </w:pPr>
          </w:p>
        </w:tc>
      </w:tr>
      <w:tr w14:paraId="6170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65149FE7">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8</w:t>
            </w:r>
          </w:p>
        </w:tc>
        <w:tc>
          <w:tcPr>
            <w:tcW w:w="2445" w:type="pct"/>
            <w:vAlign w:val="center"/>
          </w:tcPr>
          <w:p w14:paraId="0E30E9D1">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水泥构件平入式收水口及座300mm×600mm</w:t>
            </w:r>
          </w:p>
        </w:tc>
        <w:tc>
          <w:tcPr>
            <w:tcW w:w="366" w:type="pct"/>
            <w:vAlign w:val="center"/>
          </w:tcPr>
          <w:p w14:paraId="6ABCA676">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座</w:t>
            </w:r>
          </w:p>
        </w:tc>
        <w:tc>
          <w:tcPr>
            <w:tcW w:w="865" w:type="pct"/>
            <w:vAlign w:val="center"/>
          </w:tcPr>
          <w:p w14:paraId="54A73068">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15</w:t>
            </w:r>
          </w:p>
        </w:tc>
        <w:tc>
          <w:tcPr>
            <w:tcW w:w="861" w:type="pct"/>
            <w:vAlign w:val="center"/>
          </w:tcPr>
          <w:p w14:paraId="4A09D84D">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olor w:val="auto"/>
                <w:sz w:val="24"/>
                <w:highlight w:val="none"/>
              </w:rPr>
            </w:pPr>
          </w:p>
        </w:tc>
      </w:tr>
      <w:tr w14:paraId="01D5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00" w:type="pct"/>
            <w:gridSpan w:val="5"/>
            <w:vAlign w:val="center"/>
          </w:tcPr>
          <w:p w14:paraId="15511E8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四、农村社区公共照明设施管理与维护</w:t>
            </w:r>
          </w:p>
        </w:tc>
      </w:tr>
      <w:tr w14:paraId="0424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17693DA0">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1</w:t>
            </w:r>
          </w:p>
        </w:tc>
        <w:tc>
          <w:tcPr>
            <w:tcW w:w="2445" w:type="pct"/>
            <w:vAlign w:val="center"/>
          </w:tcPr>
          <w:p w14:paraId="5D766512">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高压钠灯 70W/150W</w:t>
            </w:r>
          </w:p>
        </w:tc>
        <w:tc>
          <w:tcPr>
            <w:tcW w:w="366" w:type="pct"/>
            <w:vAlign w:val="center"/>
          </w:tcPr>
          <w:p w14:paraId="19FD4A2F">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套</w:t>
            </w:r>
          </w:p>
        </w:tc>
        <w:tc>
          <w:tcPr>
            <w:tcW w:w="865" w:type="pct"/>
            <w:vAlign w:val="center"/>
          </w:tcPr>
          <w:p w14:paraId="4C62E76C">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11</w:t>
            </w:r>
          </w:p>
        </w:tc>
        <w:tc>
          <w:tcPr>
            <w:tcW w:w="861" w:type="pct"/>
            <w:vAlign w:val="center"/>
          </w:tcPr>
          <w:p w14:paraId="409DE736">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olor w:val="auto"/>
                <w:sz w:val="24"/>
                <w:highlight w:val="none"/>
              </w:rPr>
            </w:pPr>
          </w:p>
        </w:tc>
      </w:tr>
      <w:tr w14:paraId="4EB3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3440E1EC">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2</w:t>
            </w:r>
          </w:p>
        </w:tc>
        <w:tc>
          <w:tcPr>
            <w:tcW w:w="2445" w:type="pct"/>
            <w:vAlign w:val="center"/>
          </w:tcPr>
          <w:p w14:paraId="354DB912">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高压钠灯 250W/400W</w:t>
            </w:r>
          </w:p>
        </w:tc>
        <w:tc>
          <w:tcPr>
            <w:tcW w:w="366" w:type="pct"/>
            <w:vAlign w:val="center"/>
          </w:tcPr>
          <w:p w14:paraId="4BD807BF">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套</w:t>
            </w:r>
          </w:p>
        </w:tc>
        <w:tc>
          <w:tcPr>
            <w:tcW w:w="865" w:type="pct"/>
            <w:vAlign w:val="center"/>
          </w:tcPr>
          <w:p w14:paraId="2C3231C7">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78</w:t>
            </w:r>
          </w:p>
        </w:tc>
        <w:tc>
          <w:tcPr>
            <w:tcW w:w="861" w:type="pct"/>
            <w:vAlign w:val="center"/>
          </w:tcPr>
          <w:p w14:paraId="780C031F">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olor w:val="auto"/>
                <w:sz w:val="24"/>
                <w:highlight w:val="none"/>
              </w:rPr>
            </w:pPr>
          </w:p>
        </w:tc>
      </w:tr>
      <w:tr w14:paraId="26CE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10CF5AB7">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3</w:t>
            </w:r>
          </w:p>
        </w:tc>
        <w:tc>
          <w:tcPr>
            <w:tcW w:w="2445" w:type="pct"/>
            <w:shd w:val="clear" w:color="auto" w:fill="auto"/>
            <w:vAlign w:val="center"/>
          </w:tcPr>
          <w:p w14:paraId="62880F30">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highlight w:val="none"/>
              </w:rPr>
              <w:t>节能灯 20W及以下</w:t>
            </w:r>
          </w:p>
        </w:tc>
        <w:tc>
          <w:tcPr>
            <w:tcW w:w="366" w:type="pct"/>
            <w:shd w:val="clear" w:color="auto" w:fill="auto"/>
            <w:vAlign w:val="center"/>
          </w:tcPr>
          <w:p w14:paraId="5829955C">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highlight w:val="none"/>
              </w:rPr>
              <w:t>套</w:t>
            </w:r>
          </w:p>
        </w:tc>
        <w:tc>
          <w:tcPr>
            <w:tcW w:w="865" w:type="pct"/>
            <w:shd w:val="clear" w:color="auto" w:fill="auto"/>
            <w:vAlign w:val="center"/>
          </w:tcPr>
          <w:p w14:paraId="00E43F92">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highlight w:val="none"/>
              </w:rPr>
              <w:t>200</w:t>
            </w:r>
          </w:p>
        </w:tc>
        <w:tc>
          <w:tcPr>
            <w:tcW w:w="861" w:type="pct"/>
            <w:vAlign w:val="center"/>
          </w:tcPr>
          <w:p w14:paraId="0A6701BA">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olor w:val="auto"/>
                <w:sz w:val="24"/>
                <w:highlight w:val="none"/>
              </w:rPr>
            </w:pPr>
          </w:p>
        </w:tc>
      </w:tr>
      <w:tr w14:paraId="5AB7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4DAE22D3">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4</w:t>
            </w:r>
          </w:p>
        </w:tc>
        <w:tc>
          <w:tcPr>
            <w:tcW w:w="2445" w:type="pct"/>
            <w:shd w:val="clear" w:color="auto" w:fill="auto"/>
            <w:vAlign w:val="center"/>
          </w:tcPr>
          <w:p w14:paraId="27A81A3F">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highlight w:val="none"/>
              </w:rPr>
              <w:t>LED灯 50W及以下</w:t>
            </w:r>
          </w:p>
        </w:tc>
        <w:tc>
          <w:tcPr>
            <w:tcW w:w="366" w:type="pct"/>
            <w:shd w:val="clear" w:color="auto" w:fill="auto"/>
            <w:vAlign w:val="center"/>
          </w:tcPr>
          <w:p w14:paraId="146B8667">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highlight w:val="none"/>
              </w:rPr>
              <w:t>套</w:t>
            </w:r>
          </w:p>
        </w:tc>
        <w:tc>
          <w:tcPr>
            <w:tcW w:w="865" w:type="pct"/>
            <w:shd w:val="clear" w:color="auto" w:fill="auto"/>
            <w:vAlign w:val="center"/>
          </w:tcPr>
          <w:p w14:paraId="5479E31A">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highlight w:val="none"/>
              </w:rPr>
              <w:t>875</w:t>
            </w:r>
          </w:p>
        </w:tc>
        <w:tc>
          <w:tcPr>
            <w:tcW w:w="861" w:type="pct"/>
            <w:vAlign w:val="center"/>
          </w:tcPr>
          <w:p w14:paraId="12D3E599">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olor w:val="auto"/>
                <w:sz w:val="24"/>
                <w:highlight w:val="none"/>
              </w:rPr>
            </w:pPr>
          </w:p>
        </w:tc>
      </w:tr>
      <w:tr w14:paraId="3120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219C5E25">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2445" w:type="pct"/>
            <w:shd w:val="clear" w:color="auto" w:fill="auto"/>
            <w:vAlign w:val="center"/>
          </w:tcPr>
          <w:p w14:paraId="70971039">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highlight w:val="none"/>
              </w:rPr>
              <w:t>配电箱</w:t>
            </w:r>
          </w:p>
        </w:tc>
        <w:tc>
          <w:tcPr>
            <w:tcW w:w="366" w:type="pct"/>
            <w:shd w:val="clear" w:color="auto" w:fill="auto"/>
            <w:vAlign w:val="center"/>
          </w:tcPr>
          <w:p w14:paraId="07B55D2B">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highlight w:val="none"/>
              </w:rPr>
              <w:t>台</w:t>
            </w:r>
          </w:p>
        </w:tc>
        <w:tc>
          <w:tcPr>
            <w:tcW w:w="865" w:type="pct"/>
            <w:shd w:val="clear" w:color="auto" w:fill="auto"/>
            <w:vAlign w:val="center"/>
          </w:tcPr>
          <w:p w14:paraId="1124BA72">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highlight w:val="none"/>
              </w:rPr>
              <w:t>15</w:t>
            </w:r>
          </w:p>
        </w:tc>
        <w:tc>
          <w:tcPr>
            <w:tcW w:w="861" w:type="pct"/>
            <w:vAlign w:val="center"/>
          </w:tcPr>
          <w:p w14:paraId="6D55D453">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olor w:val="auto"/>
                <w:sz w:val="24"/>
                <w:highlight w:val="none"/>
              </w:rPr>
            </w:pPr>
          </w:p>
        </w:tc>
      </w:tr>
      <w:tr w14:paraId="21D4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00" w:type="pct"/>
            <w:gridSpan w:val="5"/>
            <w:vAlign w:val="center"/>
          </w:tcPr>
          <w:p w14:paraId="06447BF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bookmarkStart w:id="31" w:name="OLE_LINK5"/>
            <w:bookmarkStart w:id="32" w:name="OLE_LINK4"/>
            <w:r>
              <w:rPr>
                <w:rFonts w:hint="eastAsia" w:ascii="仿宋" w:hAnsi="仿宋" w:eastAsia="仿宋"/>
                <w:color w:val="auto"/>
                <w:sz w:val="24"/>
                <w:highlight w:val="none"/>
              </w:rPr>
              <w:t>五、下水道清理与维护</w:t>
            </w:r>
          </w:p>
        </w:tc>
      </w:tr>
      <w:tr w14:paraId="6798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1" w:type="pct"/>
            <w:vAlign w:val="center"/>
          </w:tcPr>
          <w:p w14:paraId="131F9C2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w:t>
            </w:r>
          </w:p>
        </w:tc>
        <w:tc>
          <w:tcPr>
            <w:tcW w:w="2445" w:type="pct"/>
            <w:vAlign w:val="center"/>
          </w:tcPr>
          <w:p w14:paraId="08D1774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下水道清理与维护</w:t>
            </w:r>
          </w:p>
        </w:tc>
        <w:tc>
          <w:tcPr>
            <w:tcW w:w="366" w:type="pct"/>
            <w:vAlign w:val="center"/>
          </w:tcPr>
          <w:p w14:paraId="0CB02B4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km</w:t>
            </w:r>
          </w:p>
        </w:tc>
        <w:tc>
          <w:tcPr>
            <w:tcW w:w="865" w:type="pct"/>
            <w:vAlign w:val="center"/>
          </w:tcPr>
          <w:p w14:paraId="0D7BE32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39</w:t>
            </w:r>
          </w:p>
        </w:tc>
        <w:tc>
          <w:tcPr>
            <w:tcW w:w="861" w:type="pct"/>
            <w:vAlign w:val="center"/>
          </w:tcPr>
          <w:p w14:paraId="5742FEE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r>
      <w:bookmarkEnd w:id="31"/>
      <w:bookmarkEnd w:id="32"/>
    </w:tbl>
    <w:p w14:paraId="082ABC89">
      <w:pPr>
        <w:widowControl/>
        <w:snapToGrid w:val="0"/>
        <w:spacing w:line="360" w:lineRule="auto"/>
        <w:jc w:val="left"/>
        <w:rPr>
          <w:rFonts w:hint="eastAsia" w:ascii="仿宋" w:hAnsi="仿宋" w:eastAsia="仿宋"/>
          <w:color w:val="auto"/>
          <w:sz w:val="24"/>
          <w:highlight w:val="none"/>
          <w:lang w:val="en-US" w:eastAsia="zh-CN"/>
        </w:rPr>
      </w:pPr>
    </w:p>
    <w:p w14:paraId="62D1E916">
      <w:pPr>
        <w:widowControl/>
        <w:snapToGrid w:val="0"/>
        <w:spacing w:line="360" w:lineRule="auto"/>
        <w:ind w:firstLine="482" w:firstLineChars="200"/>
        <w:jc w:val="left"/>
        <w:rPr>
          <w:rFonts w:hint="eastAsia"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（三）项目服务内容及质量验收标准</w:t>
      </w:r>
    </w:p>
    <w:p w14:paraId="26D9938C">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第一部分：环卫作业</w:t>
      </w:r>
    </w:p>
    <w:p w14:paraId="0871047F">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（1）服务内容及要求：</w:t>
      </w:r>
    </w:p>
    <w:tbl>
      <w:tblPr>
        <w:tblStyle w:val="23"/>
        <w:tblW w:w="10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8771"/>
      </w:tblGrid>
      <w:tr w14:paraId="2E19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048" w:type="dxa"/>
            <w:gridSpan w:val="2"/>
            <w:vAlign w:val="center"/>
          </w:tcPr>
          <w:p w14:paraId="0187087E">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检查项目、验收标准</w:t>
            </w:r>
          </w:p>
        </w:tc>
      </w:tr>
      <w:tr w14:paraId="4F92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restart"/>
            <w:vAlign w:val="center"/>
          </w:tcPr>
          <w:p w14:paraId="45D1A75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（一）</w:t>
            </w:r>
          </w:p>
          <w:p w14:paraId="0555CB7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农村公厕</w:t>
            </w:r>
          </w:p>
        </w:tc>
        <w:tc>
          <w:tcPr>
            <w:tcW w:w="8771" w:type="dxa"/>
          </w:tcPr>
          <w:p w14:paraId="6CA0D40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1、从6:00～22:00配巡回随脏随保洁，间隔时间不大于1小时，厕所实行全天候免费开放，不得无故关闭影响市民使用</w:t>
            </w:r>
          </w:p>
        </w:tc>
      </w:tr>
      <w:tr w14:paraId="2041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7554722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06B279A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2、指示牌、标志牌等设施设置规范、明显</w:t>
            </w:r>
          </w:p>
        </w:tc>
      </w:tr>
      <w:tr w14:paraId="1F71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02834B2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0E05713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3、保持水龙头和冲水器的出水量充足，洗手台无积水、水垢</w:t>
            </w:r>
          </w:p>
        </w:tc>
      </w:tr>
      <w:tr w14:paraId="563E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36181CF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359E441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4、公厕内采光、照明和通风良好，无明显臭味，白天光线不足的公厕应保持亮灯。</w:t>
            </w:r>
          </w:p>
        </w:tc>
      </w:tr>
      <w:tr w14:paraId="1746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3424FB4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28B1533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5、公厕内地面光洁，无积水、无污迹。</w:t>
            </w:r>
          </w:p>
        </w:tc>
      </w:tr>
      <w:tr w14:paraId="1B4E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2F996E3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680F6A8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6、内墙面、天花板、玻璃顶棚、门窗、隔离板、洗手器具、镜子、冲水设备、照明灯具、电器开关和设备等完好，无积灰、污物、污迹、蛛网，无乱涂画乱张贴，外墙面整洁。</w:t>
            </w:r>
          </w:p>
        </w:tc>
      </w:tr>
      <w:tr w14:paraId="7B74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348B22F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2443044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7、蹲位整洁，大便槽两侧无粪便污物，槽内无积粪，洁净见底。</w:t>
            </w:r>
          </w:p>
        </w:tc>
      </w:tr>
      <w:tr w14:paraId="7DA0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6DE3101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47E9BB1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8、小便槽（斗）无水锈、尿垢、垃圾，基本无臭味；沟眼、管道保持畅通。</w:t>
            </w:r>
          </w:p>
        </w:tc>
      </w:tr>
      <w:tr w14:paraId="4D19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3FC9B8C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435AE97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9、公厕管理制度、管理人员等信息上墙。</w:t>
            </w:r>
          </w:p>
        </w:tc>
      </w:tr>
      <w:tr w14:paraId="1E2C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52BD86D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6D4C375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10、公厕内外环境整洁，无杂树杂草，无乱堆杂物，无乱拉乱挂，保洁工具放置整齐。</w:t>
            </w:r>
          </w:p>
        </w:tc>
      </w:tr>
      <w:tr w14:paraId="2E1D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7572A36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6F95ECF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11、定时进行除四害、喷洒灭蚊蝇、蟑螂药物，有效控制蝇蛆滋生，无鼠迹、苍蝇存在，有真实的喷药时间和数量记录。</w:t>
            </w:r>
          </w:p>
        </w:tc>
      </w:tr>
      <w:tr w14:paraId="48EE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117FF62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33E9050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12、室内绿化及天台立体绿化管养良好（无枯枝、枯叶、折损枝、缺损株、病虫害等现象）。</w:t>
            </w:r>
          </w:p>
        </w:tc>
      </w:tr>
      <w:tr w14:paraId="7EAB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76A8805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009C945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13、公厕的设备、设施损坏要在3天内完成维修，如遇其他特殊情况需延长维修时限的，须通过书面向</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申请并经</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审批后在申请时限内完成维修，维修时做好作业提示，并进行记录。</w:t>
            </w:r>
          </w:p>
        </w:tc>
      </w:tr>
      <w:tr w14:paraId="7082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06C0C29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73E40AE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14、若公厕发生改建、拆迁等情况，要及时上报并将情况记录。</w:t>
            </w:r>
          </w:p>
        </w:tc>
      </w:tr>
      <w:tr w14:paraId="59BD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7" w:type="dxa"/>
            <w:vMerge w:val="continue"/>
            <w:vAlign w:val="center"/>
          </w:tcPr>
          <w:p w14:paraId="38E7627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6DA4883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15、公厕管理用房整体环境卫生整洁，工具摆放整齐有序，安全规范使用用电设施，不得乱拉、乱挂、乱接电线，不得明火煮食，要配备性能良好的灭火器，定期进行检查并做好记录。</w:t>
            </w:r>
          </w:p>
        </w:tc>
      </w:tr>
      <w:tr w14:paraId="0C5F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68693EF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00AB8B1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16、垃圾必须日产日清，不得焚烧，不得偷倒或者扫入排水口、绿化带和闲置地。</w:t>
            </w:r>
          </w:p>
        </w:tc>
      </w:tr>
      <w:tr w14:paraId="2608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1485C31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61E9263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17、按</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要求配置宣传海报、宣传栏、公示栏、分类指引、分类标识、分类标志等宣传物料，并做好宣传物料日常维护，宣传物料出现陈旧、脱色、破损等情况要及时更换。</w:t>
            </w:r>
          </w:p>
        </w:tc>
      </w:tr>
      <w:tr w14:paraId="40A6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41E8977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7F51512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18、配置垃圾分类标识的垃圾桶。</w:t>
            </w:r>
          </w:p>
        </w:tc>
      </w:tr>
      <w:tr w14:paraId="2C7E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584F845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0474C44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19、不能有其它影响环境卫生、市容市貌的现象存在。</w:t>
            </w:r>
          </w:p>
        </w:tc>
      </w:tr>
      <w:tr w14:paraId="7BE0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77" w:type="dxa"/>
            <w:vMerge w:val="restart"/>
            <w:vAlign w:val="center"/>
          </w:tcPr>
          <w:p w14:paraId="2D44484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（二）人力清扫及保洁</w:t>
            </w:r>
          </w:p>
        </w:tc>
        <w:tc>
          <w:tcPr>
            <w:tcW w:w="8771" w:type="dxa"/>
          </w:tcPr>
          <w:p w14:paraId="7FEED9A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1、一类道路保洁要求4:00～7:30全面大扫一次，13:30～17:00全面大扫一次，按照“横向到边，纵向到底”的原则，不得漏扫，上午9：00～12：00和夜间19：00～22：00落实巡回随脏随保洁。</w:t>
            </w:r>
          </w:p>
        </w:tc>
      </w:tr>
      <w:tr w14:paraId="3F8B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77" w:type="dxa"/>
            <w:vMerge w:val="continue"/>
            <w:vAlign w:val="center"/>
          </w:tcPr>
          <w:p w14:paraId="2648E76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742398F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2、二类道路保洁要求6:00～8:30全面大扫一次，13:30～16:00全面大扫一次，按照“横向到边，纵向到底”的原则，不得漏扫，上午9：00～11：00和夜间19：00～21：00落实巡回随脏随保洁。</w:t>
            </w:r>
          </w:p>
        </w:tc>
      </w:tr>
      <w:tr w14:paraId="6D15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7" w:type="dxa"/>
            <w:vMerge w:val="continue"/>
            <w:vAlign w:val="center"/>
          </w:tcPr>
          <w:p w14:paraId="4477619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6880092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3、一类道路临街、住宅及店铺垃圾收集与清扫保洁同步进行，要求每天上门收集不少于2次，上、下午各1次。</w:t>
            </w:r>
          </w:p>
        </w:tc>
      </w:tr>
      <w:tr w14:paraId="4B54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7" w:type="dxa"/>
            <w:vMerge w:val="continue"/>
            <w:vAlign w:val="center"/>
          </w:tcPr>
          <w:p w14:paraId="38A61DD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55ED7F6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4、二类道路临街、住宅及店铺垃圾收集与清扫保洁同步进行，要求每天上门收集不少于2次，上、下午各1次。</w:t>
            </w:r>
          </w:p>
        </w:tc>
      </w:tr>
      <w:tr w14:paraId="42FC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77" w:type="dxa"/>
            <w:vMerge w:val="continue"/>
            <w:vAlign w:val="center"/>
          </w:tcPr>
          <w:p w14:paraId="2A3E5C8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7053EFD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5、保洁所收集的垃圾要与收运车辆配合实现由收运车无缝接运，不得擅自设点及裸露堆放。</w:t>
            </w:r>
          </w:p>
        </w:tc>
      </w:tr>
      <w:tr w14:paraId="1464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0E19F71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2086B53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6、下雨天保洁人员不得擅自离岗（遇雷电时要及时躲避），在确保人身安全前提下，及时清理排水口的树叶和垃圾，及时排涝排渍，避免道路出现水浸现象。</w:t>
            </w:r>
          </w:p>
        </w:tc>
      </w:tr>
      <w:tr w14:paraId="06CD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0E1BF0C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69AC289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7、行道树的树穴要进行保洁，清除人行道和树穴内的杂草、苔迹、垃圾、杂物，无瓜果皮核、纸片塑膜、烟蒂、人畜粪便、污迹、鼠迹等存在。</w:t>
            </w:r>
          </w:p>
        </w:tc>
      </w:tr>
      <w:tr w14:paraId="7A5B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539C4CA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59CE1AE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8、及时清理各种原因造成的道路污染和路障，做好安全措施及警示，并视实际需要或应</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要求进行降尘或冲洗。</w:t>
            </w:r>
          </w:p>
        </w:tc>
      </w:tr>
      <w:tr w14:paraId="72AF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277" w:type="dxa"/>
            <w:vMerge w:val="continue"/>
            <w:vAlign w:val="center"/>
          </w:tcPr>
          <w:p w14:paraId="3E8A0FF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7D95374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9、道路的清扫、保洁的质量标准必须符合以下要求。</w:t>
            </w:r>
          </w:p>
          <w:tbl>
            <w:tblPr>
              <w:tblStyle w:val="23"/>
              <w:tblW w:w="0" w:type="auto"/>
              <w:tblInd w:w="108" w:type="dxa"/>
              <w:tblLayout w:type="fixed"/>
              <w:tblCellMar>
                <w:top w:w="0" w:type="dxa"/>
                <w:left w:w="108" w:type="dxa"/>
                <w:bottom w:w="0" w:type="dxa"/>
                <w:right w:w="108" w:type="dxa"/>
              </w:tblCellMar>
            </w:tblPr>
            <w:tblGrid>
              <w:gridCol w:w="1284"/>
              <w:gridCol w:w="1260"/>
              <w:gridCol w:w="1362"/>
              <w:gridCol w:w="1474"/>
              <w:gridCol w:w="1260"/>
              <w:gridCol w:w="1260"/>
            </w:tblGrid>
            <w:tr w14:paraId="291D0ED0">
              <w:tblPrEx>
                <w:tblCellMar>
                  <w:top w:w="0" w:type="dxa"/>
                  <w:left w:w="108" w:type="dxa"/>
                  <w:bottom w:w="0" w:type="dxa"/>
                  <w:right w:w="108" w:type="dxa"/>
                </w:tblCellMar>
              </w:tblPrEx>
              <w:tc>
                <w:tcPr>
                  <w:tcW w:w="1284" w:type="dxa"/>
                  <w:tcBorders>
                    <w:top w:val="single" w:color="auto" w:sz="4" w:space="0"/>
                    <w:left w:val="single" w:color="auto" w:sz="4" w:space="0"/>
                    <w:bottom w:val="single" w:color="auto" w:sz="4" w:space="0"/>
                    <w:right w:val="single" w:color="auto" w:sz="4" w:space="0"/>
                  </w:tcBorders>
                  <w:vAlign w:val="center"/>
                </w:tcPr>
                <w:p w14:paraId="35F7103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果皮(处/500㎡)</w:t>
                  </w:r>
                </w:p>
              </w:tc>
              <w:tc>
                <w:tcPr>
                  <w:tcW w:w="1260" w:type="dxa"/>
                  <w:tcBorders>
                    <w:top w:val="single" w:color="auto" w:sz="4" w:space="0"/>
                    <w:left w:val="nil"/>
                    <w:bottom w:val="single" w:color="auto" w:sz="4" w:space="0"/>
                    <w:right w:val="single" w:color="auto" w:sz="4" w:space="0"/>
                  </w:tcBorders>
                  <w:vAlign w:val="center"/>
                </w:tcPr>
                <w:p w14:paraId="22C3787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纸屑、塑膜(处/500㎡)</w:t>
                  </w:r>
                </w:p>
              </w:tc>
              <w:tc>
                <w:tcPr>
                  <w:tcW w:w="1362" w:type="dxa"/>
                  <w:tcBorders>
                    <w:top w:val="single" w:color="auto" w:sz="4" w:space="0"/>
                    <w:left w:val="nil"/>
                    <w:bottom w:val="single" w:color="auto" w:sz="4" w:space="0"/>
                    <w:right w:val="single" w:color="auto" w:sz="4" w:space="0"/>
                  </w:tcBorders>
                  <w:vAlign w:val="center"/>
                </w:tcPr>
                <w:p w14:paraId="7E627DE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烟蒂(处/500㎡)</w:t>
                  </w:r>
                </w:p>
              </w:tc>
              <w:tc>
                <w:tcPr>
                  <w:tcW w:w="1474" w:type="dxa"/>
                  <w:tcBorders>
                    <w:top w:val="single" w:color="auto" w:sz="4" w:space="0"/>
                    <w:left w:val="nil"/>
                    <w:bottom w:val="single" w:color="auto" w:sz="4" w:space="0"/>
                    <w:right w:val="single" w:color="auto" w:sz="4" w:space="0"/>
                  </w:tcBorders>
                  <w:vAlign w:val="center"/>
                </w:tcPr>
                <w:p w14:paraId="4C2D08D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痰迹、香口胶(处/500㎡)</w:t>
                  </w:r>
                </w:p>
              </w:tc>
              <w:tc>
                <w:tcPr>
                  <w:tcW w:w="1260" w:type="dxa"/>
                  <w:tcBorders>
                    <w:top w:val="single" w:color="auto" w:sz="4" w:space="0"/>
                    <w:left w:val="nil"/>
                    <w:bottom w:val="single" w:color="auto" w:sz="4" w:space="0"/>
                    <w:right w:val="single" w:color="auto" w:sz="4" w:space="0"/>
                  </w:tcBorders>
                  <w:vAlign w:val="center"/>
                </w:tcPr>
                <w:p w14:paraId="7F1227E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污水、积水(㎡/500㎡)</w:t>
                  </w:r>
                </w:p>
              </w:tc>
              <w:tc>
                <w:tcPr>
                  <w:tcW w:w="1260" w:type="dxa"/>
                  <w:tcBorders>
                    <w:top w:val="single" w:color="auto" w:sz="4" w:space="0"/>
                    <w:left w:val="nil"/>
                    <w:bottom w:val="single" w:color="auto" w:sz="4" w:space="0"/>
                    <w:right w:val="single" w:color="auto" w:sz="4" w:space="0"/>
                  </w:tcBorders>
                  <w:vAlign w:val="center"/>
                </w:tcPr>
                <w:p w14:paraId="0CEDBAA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其它(处/500㎡)</w:t>
                  </w:r>
                </w:p>
              </w:tc>
            </w:tr>
            <w:tr w14:paraId="3A29F4D1">
              <w:tblPrEx>
                <w:tblCellMar>
                  <w:top w:w="0" w:type="dxa"/>
                  <w:left w:w="108" w:type="dxa"/>
                  <w:bottom w:w="0" w:type="dxa"/>
                  <w:right w:w="108" w:type="dxa"/>
                </w:tblCellMar>
              </w:tblPrEx>
              <w:trPr>
                <w:trHeight w:val="304" w:hRule="atLeast"/>
              </w:trPr>
              <w:tc>
                <w:tcPr>
                  <w:tcW w:w="1284" w:type="dxa"/>
                  <w:tcBorders>
                    <w:top w:val="single" w:color="auto" w:sz="4" w:space="0"/>
                    <w:left w:val="single" w:color="auto" w:sz="4" w:space="0"/>
                    <w:bottom w:val="single" w:color="auto" w:sz="4" w:space="0"/>
                    <w:right w:val="single" w:color="auto" w:sz="4" w:space="0"/>
                  </w:tcBorders>
                  <w:vAlign w:val="center"/>
                </w:tcPr>
                <w:p w14:paraId="4E40F64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1260" w:type="dxa"/>
                  <w:tcBorders>
                    <w:top w:val="single" w:color="auto" w:sz="4" w:space="0"/>
                    <w:left w:val="nil"/>
                    <w:bottom w:val="single" w:color="auto" w:sz="4" w:space="0"/>
                    <w:right w:val="single" w:color="auto" w:sz="4" w:space="0"/>
                  </w:tcBorders>
                  <w:vAlign w:val="center"/>
                </w:tcPr>
                <w:p w14:paraId="63FC154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1362" w:type="dxa"/>
                  <w:tcBorders>
                    <w:top w:val="single" w:color="auto" w:sz="4" w:space="0"/>
                    <w:left w:val="nil"/>
                    <w:bottom w:val="single" w:color="auto" w:sz="4" w:space="0"/>
                    <w:right w:val="single" w:color="auto" w:sz="4" w:space="0"/>
                  </w:tcBorders>
                  <w:vAlign w:val="center"/>
                </w:tcPr>
                <w:p w14:paraId="1159E27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w:t>
                  </w:r>
                </w:p>
              </w:tc>
              <w:tc>
                <w:tcPr>
                  <w:tcW w:w="1474" w:type="dxa"/>
                  <w:tcBorders>
                    <w:top w:val="single" w:color="auto" w:sz="4" w:space="0"/>
                    <w:left w:val="nil"/>
                    <w:bottom w:val="single" w:color="auto" w:sz="4" w:space="0"/>
                    <w:right w:val="single" w:color="auto" w:sz="4" w:space="0"/>
                  </w:tcBorders>
                  <w:vAlign w:val="center"/>
                </w:tcPr>
                <w:p w14:paraId="330BF81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w:t>
                  </w:r>
                </w:p>
              </w:tc>
              <w:tc>
                <w:tcPr>
                  <w:tcW w:w="1260" w:type="dxa"/>
                  <w:tcBorders>
                    <w:top w:val="single" w:color="auto" w:sz="4" w:space="0"/>
                    <w:left w:val="nil"/>
                    <w:bottom w:val="single" w:color="auto" w:sz="4" w:space="0"/>
                    <w:right w:val="single" w:color="auto" w:sz="4" w:space="0"/>
                  </w:tcBorders>
                  <w:vAlign w:val="center"/>
                </w:tcPr>
                <w:p w14:paraId="00BC1E5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≤0.5</w:t>
                  </w:r>
                </w:p>
              </w:tc>
              <w:tc>
                <w:tcPr>
                  <w:tcW w:w="1260" w:type="dxa"/>
                  <w:tcBorders>
                    <w:top w:val="single" w:color="auto" w:sz="4" w:space="0"/>
                    <w:left w:val="nil"/>
                    <w:bottom w:val="single" w:color="auto" w:sz="4" w:space="0"/>
                    <w:right w:val="single" w:color="auto" w:sz="4" w:space="0"/>
                  </w:tcBorders>
                  <w:vAlign w:val="center"/>
                </w:tcPr>
                <w:p w14:paraId="627ACC0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w:t>
                  </w:r>
                </w:p>
              </w:tc>
            </w:tr>
          </w:tbl>
          <w:p w14:paraId="13A38C8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tc>
      </w:tr>
      <w:tr w14:paraId="6696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277" w:type="dxa"/>
            <w:vMerge w:val="continue"/>
            <w:vAlign w:val="center"/>
          </w:tcPr>
          <w:p w14:paraId="3067890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4670483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道牙石、路沿石、排水口、沙井盖、吊渠口、沟底、花箱、花台、花坛、花圃、廊架、雕塑、座椅等各部位整洁，无积沙、积水、余泥、烟蒂、纸屑、瓜果皮核、痰迹、人畜粪便及其它污物等废弃物，井盖下无垃圾堆积。</w:t>
            </w:r>
          </w:p>
        </w:tc>
      </w:tr>
      <w:tr w14:paraId="7AA2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277" w:type="dxa"/>
            <w:vMerge w:val="continue"/>
            <w:vAlign w:val="center"/>
          </w:tcPr>
          <w:p w14:paraId="093A354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43B19A2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11、不得有漏扫现象，不足100㎡的每次（处）按100㎡进行计算</w:t>
            </w:r>
          </w:p>
        </w:tc>
      </w:tr>
      <w:tr w14:paraId="27E9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77" w:type="dxa"/>
            <w:vMerge w:val="continue"/>
            <w:vAlign w:val="center"/>
          </w:tcPr>
          <w:p w14:paraId="1104800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702FFE0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12、垃圾必须日产日清，不得焚烧，不得偷倒或者扫入河涌、排水口、绿化带、闲置地、居民或商铺门口。</w:t>
            </w:r>
          </w:p>
        </w:tc>
      </w:tr>
      <w:tr w14:paraId="731A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7" w:type="dxa"/>
            <w:vMerge w:val="continue"/>
            <w:vAlign w:val="center"/>
          </w:tcPr>
          <w:p w14:paraId="12D015F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6423D26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13、不能有其它影响环境卫生、市容市貌的现象存在，飘蓬、线杆及可视范围内无悬挂的垃圾。</w:t>
            </w:r>
          </w:p>
        </w:tc>
      </w:tr>
      <w:tr w14:paraId="3B76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restart"/>
            <w:vAlign w:val="center"/>
          </w:tcPr>
          <w:p w14:paraId="49F56FC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(三)果皮箱等垃圾收集容器保洁与维护</w:t>
            </w:r>
          </w:p>
        </w:tc>
        <w:tc>
          <w:tcPr>
            <w:tcW w:w="8771" w:type="dxa"/>
          </w:tcPr>
          <w:p w14:paraId="606887A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1、每2天全面清洗果皮箱体等垃圾收集容器一次，每天清倒垃圾不少于两次（上、下午各一次）。</w:t>
            </w:r>
          </w:p>
        </w:tc>
      </w:tr>
      <w:tr w14:paraId="0B63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5C7A633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562A705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2、果皮箱等垃圾收集容器内的垃圾要及时分类收集，不能有满溢现象。</w:t>
            </w:r>
          </w:p>
        </w:tc>
      </w:tr>
      <w:tr w14:paraId="23D7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48009A3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7448382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3、果皮箱等垃圾收集容器外观光洁无明显积垢，内壁清洁，箱体周围、箱底无垃圾堆积、无积水、地面无污迹。</w:t>
            </w:r>
          </w:p>
        </w:tc>
      </w:tr>
      <w:tr w14:paraId="66E8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5493200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01AFCED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4、果皮箱等垃圾收集容器出现歪斜、松脱、内胆缺失或损坏等情况的，要24小时内维修或更换。</w:t>
            </w:r>
          </w:p>
        </w:tc>
      </w:tr>
      <w:tr w14:paraId="326F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6F7BB8B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081F95F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5、积极配合</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对果皮箱等垃圾收集容器的选址、定点、撤点、搬迁、核量工作。</w:t>
            </w:r>
          </w:p>
        </w:tc>
      </w:tr>
      <w:tr w14:paraId="336E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153B35D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6EE7B62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6、因施工、投诉等情况导致果皮箱等垃圾收集容器需要搬迁的，</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需配合</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落实果皮箱等垃圾收集容器的选址和搬迁工作；对未能选址的垃圾收集容器，要先进行拆除并收集保存好，待选址完成后及时进行补装。</w:t>
            </w:r>
          </w:p>
        </w:tc>
      </w:tr>
      <w:tr w14:paraId="1EC2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0B8A430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33BA87E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7、维护好果皮箱等垃圾收集容器的正常使用功能，设施结构损坏以外的维修维护均由社区负责，设施结构损坏等不能使用的情况，要2小时内上报</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并做好安全警示。</w:t>
            </w:r>
          </w:p>
        </w:tc>
      </w:tr>
      <w:tr w14:paraId="2283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36D0999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vAlign w:val="center"/>
          </w:tcPr>
          <w:p w14:paraId="2C9CE89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8、每季度统计果皮箱等垃圾收集容器的数量，并于每季度最后一个月十号前提交书面报告至</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w:t>
            </w:r>
          </w:p>
        </w:tc>
      </w:tr>
      <w:tr w14:paraId="22F8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restart"/>
            <w:vAlign w:val="center"/>
          </w:tcPr>
          <w:p w14:paraId="6E85A90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（四）河道、河涌、 护坡、堤岸保洁、公共水体</w:t>
            </w:r>
          </w:p>
        </w:tc>
        <w:tc>
          <w:tcPr>
            <w:tcW w:w="8771" w:type="dxa"/>
          </w:tcPr>
          <w:p w14:paraId="512C02C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1、保洁时间：6：00－18：00（6级或6级以上大风、黄色暴雨警告以上天气除外）。</w:t>
            </w:r>
          </w:p>
        </w:tc>
      </w:tr>
      <w:tr w14:paraId="69E7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006D5C9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1313D04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2、每日须至少两次彻底打捞水面漂浮垃圾和收集护坡垃圾，上、下午各一次。</w:t>
            </w:r>
          </w:p>
        </w:tc>
      </w:tr>
      <w:tr w14:paraId="05E3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29AE38A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4A52553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3、水面无大件漂浮垃圾（≥1㎡），小件零星垃圾两件之间最小间距≥20米，单片油污≤10㎡的，出现≥10㎡的油污问题于1小时内上报给</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w:t>
            </w:r>
          </w:p>
        </w:tc>
      </w:tr>
      <w:tr w14:paraId="2097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6C7D41D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7C293A3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4、堤岸、护坡及周边整洁，无悬挂物、无垃圾杂物堆积、杂草和杂树及时清理。</w:t>
            </w:r>
          </w:p>
        </w:tc>
      </w:tr>
      <w:tr w14:paraId="13A9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235FBCE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214E2AE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5、汛期无条件配合水利部门进行清疏、排灌。</w:t>
            </w:r>
          </w:p>
        </w:tc>
      </w:tr>
      <w:tr w14:paraId="51C9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0DEB571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695F88A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6、每天打捞、收集的垃圾要定点吊卸并日产日清。</w:t>
            </w:r>
          </w:p>
        </w:tc>
      </w:tr>
      <w:tr w14:paraId="0FD0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12AD242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3001863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7、垃圾清运后必须把场地清扫干净，无垃圾和杂物堆放。</w:t>
            </w:r>
          </w:p>
        </w:tc>
      </w:tr>
      <w:tr w14:paraId="292D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09238FD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5B4C5E2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8、垃圾异味太大或有动物残体时要进行密封包装。</w:t>
            </w:r>
          </w:p>
        </w:tc>
      </w:tr>
      <w:tr w14:paraId="3DAB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71A9A90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025BAF7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9、每天清理拦污网垃圾和杂草，确保拦污网无残留垃圾和杂草。</w:t>
            </w:r>
          </w:p>
        </w:tc>
      </w:tr>
      <w:tr w14:paraId="2909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1DAF58F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22A2C84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10、定期检查拦污网等设施，发现损坏及时进行修复或更换。</w:t>
            </w:r>
          </w:p>
        </w:tc>
      </w:tr>
      <w:tr w14:paraId="1782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19725B4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13D0B44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11、船只性能良好，外观无缺损、标志应清晰。</w:t>
            </w:r>
          </w:p>
        </w:tc>
      </w:tr>
      <w:tr w14:paraId="427A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14763D1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76A8B97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12、不能有其它影响环境卫生、市容市貌的现象存在。</w:t>
            </w:r>
          </w:p>
        </w:tc>
      </w:tr>
      <w:tr w14:paraId="39FF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restart"/>
            <w:vAlign w:val="center"/>
          </w:tcPr>
          <w:p w14:paraId="2846DD1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（五）</w:t>
            </w:r>
          </w:p>
          <w:p w14:paraId="6B4418A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垃圾分类收集</w:t>
            </w:r>
          </w:p>
        </w:tc>
        <w:tc>
          <w:tcPr>
            <w:tcW w:w="8771" w:type="dxa"/>
          </w:tcPr>
          <w:p w14:paraId="77A0C48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1、垃圾收集必须做到定时日产日清、不得漏收。</w:t>
            </w:r>
          </w:p>
        </w:tc>
      </w:tr>
      <w:tr w14:paraId="27A2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29001A8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2734332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2、负责范围内的各村一天不少于两次的垃圾收集运输工作，日产日清，所收集的生活垃圾按要求分类运到指定垃圾收集站（点），暂存点或与收运车辆配合落实无缝接运，不得擅自设点及裸露堆放。</w:t>
            </w:r>
          </w:p>
        </w:tc>
      </w:tr>
      <w:tr w14:paraId="676D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18C8404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0C023AF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3、负责城区所有临街店铺的垃圾收集，一类道路临街店铺每天要求收集不少于4次，上下午各2次。</w:t>
            </w:r>
          </w:p>
        </w:tc>
      </w:tr>
      <w:tr w14:paraId="1B41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2A31703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vAlign w:val="center"/>
          </w:tcPr>
          <w:p w14:paraId="2098514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农村道路工厂、店铺、住宅等垃圾收集与清扫保洁同步进行，要求每天分类收集不少于2次，上、下午各1次，所收集垃圾必须分类运到指定垃圾收集站（点）、暂存点或与收运车辆配合落实无缝接运，不得擅自设点及裸露堆放。</w:t>
            </w:r>
          </w:p>
        </w:tc>
      </w:tr>
      <w:tr w14:paraId="542F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3B5C02A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017ACEB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5、每天安排专职专车巡回收集路面保洁垃圾，收集次数不少于6次，确保完成最后一轮路面保洁垃圾的收运。</w:t>
            </w:r>
          </w:p>
        </w:tc>
      </w:tr>
      <w:tr w14:paraId="3A51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5B262AB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62CCE56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6、生活垃圾必须日产日清，对</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辖区范围内的废旧家具、绿化垃圾（市政管养部分除外）、无主装修垃圾、渣土淤泥、水上垃圾、雨污泵站漂浮物及工业垃圾等要24小时内清理。</w:t>
            </w:r>
          </w:p>
        </w:tc>
      </w:tr>
      <w:tr w14:paraId="0027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3E40094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5953E3E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7、生活垃圾以外的其它废弃物要进行分类收集，不得混入生活垃圾一并处理，并按</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要求分类运输到</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指定的中转站或处理场地。</w:t>
            </w:r>
          </w:p>
        </w:tc>
      </w:tr>
      <w:tr w14:paraId="46B0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03D3A6C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29FCAFC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必须无条件配合</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开展垃圾分类工作，并对相关的垃圾分类设施进行维护，各类垃圾必须落实分类收集、分类运输、日产日清。</w:t>
            </w:r>
          </w:p>
        </w:tc>
      </w:tr>
      <w:tr w14:paraId="3EA0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5BF2D1D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78352A2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9、保洁产生的垃圾要及时由收集车无缝接运，确保保洁的质量与效率，不得擅自设点，不得裸露堆放。</w:t>
            </w:r>
          </w:p>
        </w:tc>
      </w:tr>
      <w:tr w14:paraId="5D90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74E3582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05A6088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10、按要求配置宣传海报、宣传栏、公示栏、分类指引、分类标识、分类标志等宣传物料，并做好宣传物料日常维护，宣传物料出现陈旧、脱色、破损等情况要及时更换。</w:t>
            </w:r>
          </w:p>
        </w:tc>
      </w:tr>
      <w:tr w14:paraId="04DE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32F62F4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2F1935C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11、垃圾收集车收集垃圾前要清排车箱污水，垃圾在运输过程中不得有洒漏、滴漏等污染道路现象，对洒漏、滴漏等污染道路现象必须清理干净。</w:t>
            </w:r>
          </w:p>
        </w:tc>
      </w:tr>
      <w:tr w14:paraId="34DB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5C55E0B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7DCE445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12、随车配备清扫工具，垃圾收集后必须把垃圾分类投放点、收集点（含垃圾屋、垃圾房、暂存点）清扫或冲洗干净。</w:t>
            </w:r>
          </w:p>
        </w:tc>
      </w:tr>
      <w:tr w14:paraId="21C2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4C2DB57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53C766E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13、收运垃圾后垃圾容器要按分类放回原位，推送垃圾容器时应轻拿轻放，避免扬尘污染，不得损坏、乱放垃圾容器。</w:t>
            </w:r>
          </w:p>
        </w:tc>
      </w:tr>
      <w:tr w14:paraId="1EA9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178F4E4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39B8FFE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14、垃圾收集车辆遇到维修等特殊情况未能完成垃圾收集，要及时上报和完成车辆调配，并在1小时内完成垃圾收集。</w:t>
            </w:r>
          </w:p>
        </w:tc>
      </w:tr>
      <w:tr w14:paraId="732D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0D4D1A4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5153EA4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15、垃圾收集车全面实现密闭化，运输过程中无垃圾扬撒、拖挂和污水滴漏。</w:t>
            </w:r>
          </w:p>
        </w:tc>
      </w:tr>
      <w:tr w14:paraId="298F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326ACFC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4A3E7EE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16、垃圾必须日产日清，不得焚烧，不得偷倒或者扫入排水口、绿化带和闲置地。</w:t>
            </w:r>
          </w:p>
        </w:tc>
      </w:tr>
      <w:tr w14:paraId="75D3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64DB073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348C3D1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17、密闭式垃圾收集容器不能用作定点收集容器。</w:t>
            </w:r>
          </w:p>
        </w:tc>
      </w:tr>
      <w:tr w14:paraId="1780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2BB5D55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1480B87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18、</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必须为所有垃圾收集车辆配置垃圾称重设备并正常有效使用。</w:t>
            </w:r>
          </w:p>
        </w:tc>
      </w:tr>
      <w:tr w14:paraId="14B3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19D02A2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vAlign w:val="center"/>
          </w:tcPr>
          <w:p w14:paraId="51FC71B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19、每天对</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配置的垃圾分类设施进行垃圾分类收集，要及时清理分类设施的垃圾，每天清理垃圾不少于两次（上、下午各一次），并对错误投放的垃圾进行正确分拣。</w:t>
            </w:r>
          </w:p>
        </w:tc>
      </w:tr>
      <w:tr w14:paraId="7A29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25099DB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vAlign w:val="center"/>
          </w:tcPr>
          <w:p w14:paraId="076BA9C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20、收集垃圾时要使用专业的垃圾收集车辆和收集容器分类装载并运至指定暂存点存放，不得设点裸露随意摆放。</w:t>
            </w:r>
          </w:p>
        </w:tc>
      </w:tr>
      <w:tr w14:paraId="731D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024316E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vAlign w:val="center"/>
          </w:tcPr>
          <w:p w14:paraId="4583636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21、按要求完成各类垃圾收运、分拣及暂存等工。</w:t>
            </w:r>
          </w:p>
        </w:tc>
      </w:tr>
      <w:tr w14:paraId="15DA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77" w:type="dxa"/>
            <w:vMerge w:val="continue"/>
            <w:vAlign w:val="center"/>
          </w:tcPr>
          <w:p w14:paraId="36D284A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5BD65EC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22、不能有其它影响环境卫生、市容市貌的现象存在。</w:t>
            </w:r>
          </w:p>
        </w:tc>
      </w:tr>
      <w:tr w14:paraId="6AE1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restart"/>
            <w:vAlign w:val="center"/>
          </w:tcPr>
          <w:p w14:paraId="4554D24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（六）</w:t>
            </w:r>
          </w:p>
          <w:p w14:paraId="108BB9B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车辆及环卫信息监管</w:t>
            </w:r>
          </w:p>
        </w:tc>
        <w:tc>
          <w:tcPr>
            <w:tcW w:w="8771" w:type="dxa"/>
          </w:tcPr>
          <w:p w14:paraId="01F004B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1、</w:t>
            </w:r>
            <w:r>
              <w:rPr>
                <w:rFonts w:hint="eastAsia" w:ascii="仿宋" w:hAnsi="仿宋" w:eastAsia="仿宋"/>
                <w:color w:val="auto"/>
                <w:sz w:val="24"/>
                <w:highlight w:val="none"/>
              </w:rPr>
              <w:t>车辆性能良好，车牌标识清楚、外观无缺损，专用标志、分类标识清晰准确，车尾应有反光标志。</w:t>
            </w:r>
          </w:p>
        </w:tc>
      </w:tr>
      <w:tr w14:paraId="46BB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5E57E3D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2DDAB3C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2、车容整洁，无残留垃圾、无陈旧积泥、无滋生蝇蛆。</w:t>
            </w:r>
          </w:p>
        </w:tc>
      </w:tr>
      <w:tr w14:paraId="66D8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7F83B99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2D25A29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3、作业结束后必须及时把车辆擦洗干净，并按指定位置停放好。</w:t>
            </w:r>
          </w:p>
        </w:tc>
      </w:tr>
      <w:tr w14:paraId="10C7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17D72D6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4555F56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4、按要求定期翻新或更新作业车辆外观，并按要求统一车辆标识。</w:t>
            </w:r>
          </w:p>
        </w:tc>
      </w:tr>
      <w:tr w14:paraId="38AC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09983F5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33A3314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5、车箱体周边不能有悬挂杂物的现象。</w:t>
            </w:r>
          </w:p>
        </w:tc>
      </w:tr>
      <w:tr w14:paraId="7544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51C96E6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2DD534F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6、车辆驾驶室要保持整洁，不能堆放杂物，工具摆放整齐，并配备性能良好的灭火器及警示标志。</w:t>
            </w:r>
          </w:p>
        </w:tc>
      </w:tr>
      <w:tr w14:paraId="7E1A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539985D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569F56D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7、司机按规定时间、路线准时出车工作，车辆作业线路不得随意更改，须经</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书面同意后方可实施，若遇车辆维修等特殊情况需要更换指定车辆的，要及时上报。</w:t>
            </w:r>
          </w:p>
        </w:tc>
      </w:tr>
      <w:tr w14:paraId="3A2C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3178B86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11CD211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8、车辆作业时不能违反交通规则和做好安全措施。</w:t>
            </w:r>
          </w:p>
        </w:tc>
      </w:tr>
      <w:tr w14:paraId="5577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197A140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7E49BFB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9、安全、文明作业，尽量减少噪音扰民、妨碍交通现象。</w:t>
            </w:r>
          </w:p>
        </w:tc>
      </w:tr>
      <w:tr w14:paraId="3D1A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62DB79F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04F9684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10、清扫车辆称重前要清排污水和清空水箱再进行称重。</w:t>
            </w:r>
          </w:p>
        </w:tc>
      </w:tr>
      <w:tr w14:paraId="6D07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7" w:type="dxa"/>
            <w:vMerge w:val="continue"/>
            <w:vAlign w:val="center"/>
          </w:tcPr>
          <w:p w14:paraId="07D1DF7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33B622C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无条件协助</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完成桂城智慧城市管家(市政)管理平台的建设工作，并且达到</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各项功能的使用要求。</w:t>
            </w:r>
          </w:p>
        </w:tc>
      </w:tr>
      <w:tr w14:paraId="47DC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5C49845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422C339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12、社区必须按要求配置1人或以上的平台管理人员。</w:t>
            </w:r>
          </w:p>
        </w:tc>
      </w:tr>
      <w:tr w14:paraId="207F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174EDFC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7936A76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13、所有作业车辆必须按确认书要求安装车载设备：①所有作业车辆的车载设备数据能直接接入桂城智慧城市管家(市政)管理平台，车载设备至少需具有GPS、视频及作业状态监管等功能，并能满足平台日常监管需求；②确保所有作业车辆的车载设备能够不间断有效工作，如该设备出现故障或车辆故障导致数据异常或缺失的，要及时上报并进行修复处理。。</w:t>
            </w:r>
          </w:p>
        </w:tc>
      </w:tr>
      <w:tr w14:paraId="6734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7" w:type="dxa"/>
            <w:vMerge w:val="continue"/>
            <w:vAlign w:val="center"/>
          </w:tcPr>
          <w:p w14:paraId="3B84C92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6BFC2CC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14、管理平台日常使用中发现的问题需做好记录，并及时进行上报。</w:t>
            </w:r>
          </w:p>
        </w:tc>
      </w:tr>
      <w:tr w14:paraId="056B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7672564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128CF98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15、管理平台各类交办的案件需按照</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要求，按时按质进行回复，并做好相关资料存档工作，。</w:t>
            </w:r>
          </w:p>
        </w:tc>
      </w:tr>
      <w:tr w14:paraId="6DF5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7ED9521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073DF02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16、管理平台日常使用中，社区需无条件配合</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对平台的管理工作，不能出现延迟响应、拒不执行等情况。</w:t>
            </w:r>
          </w:p>
        </w:tc>
      </w:tr>
      <w:tr w14:paraId="6766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restart"/>
            <w:vAlign w:val="center"/>
          </w:tcPr>
          <w:p w14:paraId="4DED50F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（七）</w:t>
            </w:r>
          </w:p>
          <w:p w14:paraId="02501D6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工具、工具房（点）、取水点管理</w:t>
            </w:r>
          </w:p>
        </w:tc>
        <w:tc>
          <w:tcPr>
            <w:tcW w:w="8771" w:type="dxa"/>
            <w:vAlign w:val="center"/>
          </w:tcPr>
          <w:p w14:paraId="58CE845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1、工具房整体环境卫生整洁、干净，无积水，并加上门锁。</w:t>
            </w:r>
          </w:p>
        </w:tc>
      </w:tr>
      <w:tr w14:paraId="70A9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0ECC327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vAlign w:val="center"/>
          </w:tcPr>
          <w:p w14:paraId="6FBDE48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2、劳动作业工具摆放整齐、有序。</w:t>
            </w:r>
          </w:p>
        </w:tc>
      </w:tr>
      <w:tr w14:paraId="4073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277" w:type="dxa"/>
            <w:vMerge w:val="continue"/>
            <w:vAlign w:val="center"/>
          </w:tcPr>
          <w:p w14:paraId="11A92FF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vAlign w:val="center"/>
          </w:tcPr>
          <w:p w14:paraId="2494B08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3、不得存放非生产性用品、危险化学品。</w:t>
            </w:r>
          </w:p>
        </w:tc>
      </w:tr>
      <w:tr w14:paraId="1CE2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277" w:type="dxa"/>
            <w:vMerge w:val="continue"/>
            <w:vAlign w:val="center"/>
          </w:tcPr>
          <w:p w14:paraId="0E68E66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vAlign w:val="center"/>
          </w:tcPr>
          <w:p w14:paraId="7EA8611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4、取水点损坏要及时维修，定期全面翻新，做好反光标识；排队等候或取水时车辆要熄火，文明有序进行取水，减少人为噪音；水阀使用后关紧上锁，不能有漏水现象。</w:t>
            </w:r>
          </w:p>
        </w:tc>
      </w:tr>
      <w:tr w14:paraId="6B96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32BF142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vAlign w:val="center"/>
          </w:tcPr>
          <w:p w14:paraId="3EEC7D9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5、工人的车辆不得乱停乱放。</w:t>
            </w:r>
          </w:p>
        </w:tc>
      </w:tr>
      <w:tr w14:paraId="324B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66A5720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vAlign w:val="center"/>
          </w:tcPr>
          <w:p w14:paraId="7F64AE9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6、工具房要配备性能良好的灭火器，要定期进行检查并做好记录。</w:t>
            </w:r>
          </w:p>
        </w:tc>
      </w:tr>
      <w:tr w14:paraId="08CE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3F8164A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vAlign w:val="center"/>
          </w:tcPr>
          <w:p w14:paraId="5332D11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7、维护好工具房的正常使用功能，除主结构损坏外的维修均由社区负责。</w:t>
            </w:r>
          </w:p>
        </w:tc>
      </w:tr>
      <w:tr w14:paraId="6C91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5684BFB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39AEA58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8、按要求定期翻新或更新工具、作业斗车、电动车、取水点等设施设备。</w:t>
            </w:r>
          </w:p>
        </w:tc>
      </w:tr>
      <w:tr w14:paraId="5025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519EA45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3207894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9、按要求配置宣传海报、宣传栏、公示栏、分类指引、分类标识、分类标志等宣传物料，并做好宣传物料日常维护，宣传物料出现陈旧、脱色、破损等情况要及时更换。</w:t>
            </w:r>
          </w:p>
        </w:tc>
      </w:tr>
      <w:tr w14:paraId="0149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5B57F2E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24A0EBB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10、及时清洗工具房房顶，清理房顶积存垃圾杂物。</w:t>
            </w:r>
          </w:p>
        </w:tc>
      </w:tr>
      <w:tr w14:paraId="2479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605C761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48B5340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11、不能有其它影响环境卫生、市容市貌的现象存在。</w:t>
            </w:r>
          </w:p>
        </w:tc>
      </w:tr>
      <w:tr w14:paraId="70FF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restart"/>
            <w:vAlign w:val="center"/>
          </w:tcPr>
          <w:p w14:paraId="1C807C0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（八）</w:t>
            </w:r>
          </w:p>
          <w:p w14:paraId="5F71F56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垃圾中转站站场管理</w:t>
            </w:r>
          </w:p>
        </w:tc>
        <w:tc>
          <w:tcPr>
            <w:tcW w:w="8771" w:type="dxa"/>
          </w:tcPr>
          <w:p w14:paraId="1C7CC7C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1、垃圾中转站开放时间为6:00～23：30，如遇特殊情况的需及时调整开放时间，以确保完成垃圾收运工作。</w:t>
            </w:r>
          </w:p>
        </w:tc>
      </w:tr>
      <w:tr w14:paraId="3E94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7CB9D07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18EFD10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2、积极配合</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工作，垃圾必须做到日产日清，必须分类收集堆放不得在站内外裸露堆放垃圾。</w:t>
            </w:r>
          </w:p>
        </w:tc>
      </w:tr>
      <w:tr w14:paraId="1B7E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619B0F6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193B3E2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3、站内设施基本保持完好无缺损，负责站场设施维护，要配备性能良好的灭火器材，定期进行检查并做好记录。</w:t>
            </w:r>
          </w:p>
        </w:tc>
      </w:tr>
      <w:tr w14:paraId="7609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56DF4AD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0BFF22C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4、未经</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批准，</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不得收取外来垃圾、非工作人员不得入站。</w:t>
            </w:r>
          </w:p>
        </w:tc>
      </w:tr>
      <w:tr w14:paraId="2399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011C8A9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758E1DC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5、车辆进出有序，必须按站场各功能区域作业要求进行作业。</w:t>
            </w:r>
          </w:p>
        </w:tc>
      </w:tr>
      <w:tr w14:paraId="3638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6E31808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02E382B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6、作业车辆必须按要求专车专卡进行称重，发现未刷卡、刷错卡或重复刷卡。</w:t>
            </w:r>
          </w:p>
        </w:tc>
      </w:tr>
      <w:tr w14:paraId="038D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15101EB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379EDC5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7、称重系统或称重系统数据出现异常时，</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不得擅自操作称重系统或修改称重系统数据，要立刻通知</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进行处理。</w:t>
            </w:r>
          </w:p>
        </w:tc>
      </w:tr>
      <w:tr w14:paraId="7C0C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4D21E29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3E4E3D4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8、车辆、人员出入站场必须按要求进行登记，站场的管理制度、车辆出入记录、除四害消杀记录等相关资料必须在站场明显地方上墙。</w:t>
            </w:r>
          </w:p>
        </w:tc>
      </w:tr>
      <w:tr w14:paraId="6157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6C55B2F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75B6575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9、分拣的可回收物必须当天清走，不得堆积杂物，劳动工具定点有序摆放。</w:t>
            </w:r>
          </w:p>
        </w:tc>
      </w:tr>
      <w:tr w14:paraId="56F2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299770F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2E321E0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10、沟渠畅通，无垃圾积聚、及时清排污水。</w:t>
            </w:r>
          </w:p>
        </w:tc>
      </w:tr>
      <w:tr w14:paraId="00A7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2696558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1CD6977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11、在生产辗压过程中工作人员必须佩戴口罩和安全头盔。</w:t>
            </w:r>
          </w:p>
        </w:tc>
      </w:tr>
      <w:tr w14:paraId="4291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0614D69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776132D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12、在生产辗压过程中喷淋防尘除臭必须以雾化降尘方式进行。</w:t>
            </w:r>
          </w:p>
        </w:tc>
      </w:tr>
      <w:tr w14:paraId="5CDF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4FA55B2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16265BC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13、下班前必须把站场清理干净，保持站场整体清洁干净。</w:t>
            </w:r>
          </w:p>
        </w:tc>
      </w:tr>
      <w:tr w14:paraId="5E97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2E55373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17A9AEC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14、要定期落实四害防治措施，四害密度不能超标。</w:t>
            </w:r>
          </w:p>
        </w:tc>
      </w:tr>
      <w:tr w14:paraId="7FCA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3565663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76ABB50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15、实行24小时值班制度，确保完成最后一轮保洁垃圾的收运。</w:t>
            </w:r>
          </w:p>
        </w:tc>
      </w:tr>
      <w:tr w14:paraId="3334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0FE5584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66D3E5C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16、安全、文明作业，尽量减少噪音扰民、妨碍交通现象。</w:t>
            </w:r>
          </w:p>
        </w:tc>
      </w:tr>
      <w:tr w14:paraId="6F7B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03D6C71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1CCF30D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17、垃圾中转站周边要保持清洁。</w:t>
            </w:r>
          </w:p>
        </w:tc>
      </w:tr>
      <w:tr w14:paraId="26ED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104014C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0EAFFA4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18、</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必须在所有垃圾中转站安装并使用降尘、除臭设施设备，并达到环保要求等考核标准。</w:t>
            </w:r>
          </w:p>
        </w:tc>
      </w:tr>
      <w:tr w14:paraId="545F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7" w:type="dxa"/>
            <w:vMerge w:val="continue"/>
            <w:vAlign w:val="center"/>
          </w:tcPr>
          <w:p w14:paraId="261B50F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7CF7067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19、按要求配置宣传海报、宣传栏、公示栏、分类指引、分类标识、分类标志等宣传物料，并做好宣传物料日常维护，宣传物料出现陈旧、脱色、破损等情况要及时更换。</w:t>
            </w:r>
          </w:p>
        </w:tc>
      </w:tr>
      <w:tr w14:paraId="26E2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763F465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5615B5F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20、</w:t>
            </w:r>
            <w:r>
              <w:rPr>
                <w:rFonts w:hint="eastAsia" w:ascii="仿宋" w:hAnsi="仿宋" w:eastAsia="仿宋"/>
                <w:color w:val="auto"/>
                <w:sz w:val="24"/>
                <w:highlight w:val="none"/>
              </w:rPr>
              <w:t>饭堂管理必须符合以下要求。</w:t>
            </w:r>
          </w:p>
          <w:p w14:paraId="1DB7A9E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（1）饭堂及从业人员证照齐全</w:t>
            </w:r>
          </w:p>
          <w:p w14:paraId="02E3A84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（2）内部环境卫生干净、整洁，餐台餐椅摆放整齐</w:t>
            </w:r>
          </w:p>
          <w:p w14:paraId="2AAB54A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（3）严把食物购进关，厨房餐具要按卫生规定进行消毒处理，杜绝集体食物中毒事故发生</w:t>
            </w:r>
          </w:p>
          <w:p w14:paraId="7D900F0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（4）工作人员严格按照集体饭堂操作规程操作</w:t>
            </w:r>
          </w:p>
          <w:p w14:paraId="44D2E96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（5）落实防蝇、防鼠、防尘的“三防”措施</w:t>
            </w:r>
          </w:p>
          <w:p w14:paraId="2DADE50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（6）落实安全用电措施，不得乱拉、乱挂、乱接电线，不使用非生产性大功率电器</w:t>
            </w:r>
          </w:p>
        </w:tc>
      </w:tr>
      <w:tr w14:paraId="5E08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210341F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71269EE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21、宿舍管理必须符合以下要求：</w:t>
            </w:r>
          </w:p>
          <w:p w14:paraId="3858A76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（1）宿舍内环境卫生干净，床上用品及家具摆放整齐有序，天花板无蜘蛛网</w:t>
            </w:r>
          </w:p>
          <w:p w14:paraId="2684D7C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（2）不得摆放生产劳动工具，不得存放废旧物品</w:t>
            </w:r>
          </w:p>
          <w:p w14:paraId="1A938DD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（3）要在指定地点晾晒衣服，不得乱搭乱挂</w:t>
            </w:r>
          </w:p>
          <w:p w14:paraId="5AEFC88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（4）集体宿舍内不得明火、煮食</w:t>
            </w:r>
          </w:p>
          <w:p w14:paraId="273B7F9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（5）落实安全用电措施，不得乱拉、乱挂、乱接电线，不使用非生产性大功率电器</w:t>
            </w:r>
          </w:p>
          <w:p w14:paraId="6285104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（6）公共走廊、走火通道必须保持畅通无阻，并配足性能良好的灭火器材及消防设施</w:t>
            </w:r>
          </w:p>
          <w:p w14:paraId="3B44555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（7）未经批准，不得留非工作人员在宿舍过夜</w:t>
            </w:r>
          </w:p>
        </w:tc>
      </w:tr>
      <w:tr w14:paraId="5E7F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55C3231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35CCA96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22、</w:t>
            </w:r>
            <w:r>
              <w:rPr>
                <w:rFonts w:hint="eastAsia" w:ascii="仿宋" w:hAnsi="仿宋" w:eastAsia="仿宋"/>
                <w:color w:val="auto"/>
                <w:sz w:val="24"/>
                <w:highlight w:val="none"/>
              </w:rPr>
              <w:t>厕所管理必须符合以下要求：</w:t>
            </w:r>
          </w:p>
          <w:p w14:paraId="2B8B7F6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（1）大、小便池无积垢</w:t>
            </w:r>
          </w:p>
          <w:p w14:paraId="60FF681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（2）基本无臭味、无蝇蛆</w:t>
            </w:r>
          </w:p>
          <w:p w14:paraId="566EBAD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（3）地面、墙壁干净，天花板无蜘蛛网</w:t>
            </w:r>
          </w:p>
          <w:p w14:paraId="3CBB2D3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（4）设施完好无缺损</w:t>
            </w:r>
          </w:p>
          <w:p w14:paraId="58F4C6A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（5）做好站内厕所抽粪工作，每年抽粪不少于两次，并做好记录</w:t>
            </w:r>
          </w:p>
          <w:p w14:paraId="71AEB83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（6）做好站内厕所消杀除四害工作，毎月不少于两次，并做好记录</w:t>
            </w:r>
          </w:p>
        </w:tc>
      </w:tr>
      <w:tr w14:paraId="6643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77" w:type="dxa"/>
            <w:vMerge w:val="continue"/>
            <w:vAlign w:val="center"/>
          </w:tcPr>
          <w:p w14:paraId="7897A7F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196E4B5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23、不能有其它影响环境卫生、市容市貌的现象存在。</w:t>
            </w:r>
          </w:p>
        </w:tc>
      </w:tr>
      <w:tr w14:paraId="5F07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restart"/>
            <w:vAlign w:val="center"/>
          </w:tcPr>
          <w:p w14:paraId="04D44B6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（九）</w:t>
            </w:r>
          </w:p>
          <w:p w14:paraId="55344E5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乱张贴、乱涂画清理</w:t>
            </w:r>
          </w:p>
        </w:tc>
        <w:tc>
          <w:tcPr>
            <w:tcW w:w="8771" w:type="dxa"/>
          </w:tcPr>
          <w:p w14:paraId="53A392E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1、每天作业时间内清理辖区范围内的乱张贴和乱涂画。</w:t>
            </w:r>
          </w:p>
        </w:tc>
      </w:tr>
      <w:tr w14:paraId="5933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158E182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20C207A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2、清理所辖道路的乱张贴和乱涂画，包括建筑物外墙、门闸、道路路面、道牙石、路沿石、信号灯、树木、花台、花坛、花圃、花箱、廊架、座椅、雕塑等市政公共设施的乱张贴和乱涂画。</w:t>
            </w:r>
          </w:p>
        </w:tc>
      </w:tr>
      <w:tr w14:paraId="3328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514C7DD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55E02BA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3、每天对所辖区域必须全面巡查一次以上，发现有乱张贴、乱涂画的在24小时内清理。</w:t>
            </w:r>
          </w:p>
        </w:tc>
      </w:tr>
      <w:tr w14:paraId="2CEB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5EB1F23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5AF3C06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4、确保乱张贴、乱涂画清理的效果和质量，先用清洁剂清洗，严禁直接用涂料覆盖，清理面应与原色接近，并将现场清理干净。</w:t>
            </w:r>
          </w:p>
        </w:tc>
      </w:tr>
      <w:tr w14:paraId="0B20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223E1DB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1FB460F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5、不能有其它影响环境卫生、市容市貌的现象存在。</w:t>
            </w:r>
          </w:p>
        </w:tc>
      </w:tr>
      <w:tr w14:paraId="69B2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restart"/>
            <w:vAlign w:val="center"/>
          </w:tcPr>
          <w:p w14:paraId="344D490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（十）</w:t>
            </w:r>
          </w:p>
          <w:p w14:paraId="4ECBDFF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安全生产</w:t>
            </w:r>
          </w:p>
        </w:tc>
        <w:tc>
          <w:tcPr>
            <w:tcW w:w="8771" w:type="dxa"/>
          </w:tcPr>
          <w:p w14:paraId="2534CFD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1、建立健全的安全生产责任制，组织制定安全生产规章制度和操作规程，制定各类应急预案，落实责任制，落实有关安全措施。</w:t>
            </w:r>
          </w:p>
        </w:tc>
      </w:tr>
      <w:tr w14:paraId="3BE2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4C65F00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7B4391A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2、组织制定并实施安全生产教育和培训计划，每季度不少于1次进行全员安全生产教育培训，并做好台账、资料存档以便</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进行查阅。</w:t>
            </w:r>
          </w:p>
        </w:tc>
      </w:tr>
      <w:tr w14:paraId="043D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064DCA5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09BA626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3、办公室、仓库、饭堂、车站场、中转站等场所，必须有安全生产管理制度、禁烟、限速等标识上墙，并设置安全生产标语。</w:t>
            </w:r>
          </w:p>
        </w:tc>
      </w:tr>
      <w:tr w14:paraId="64C6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5EB3B29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5911E5B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4、高空作业和围蔽标准必须符合佛山市建设工程文明施工管理规定。</w:t>
            </w:r>
          </w:p>
        </w:tc>
      </w:tr>
      <w:tr w14:paraId="7A10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5C99758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6B55CA6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5、每天做好安全生产监督巡查工作，定期组织安全生产教育、培训、专项检查等工作并做好台账、资料存档以便</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进行查阅。</w:t>
            </w:r>
          </w:p>
        </w:tc>
      </w:tr>
      <w:tr w14:paraId="3971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740651D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5C1D6F1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6、定期全额购买从业人员的工伤保险及保障员工相关劳保福利。</w:t>
            </w:r>
          </w:p>
        </w:tc>
      </w:tr>
      <w:tr w14:paraId="76DA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6C56580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50211D8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7、作业人员做好岗前培训，并做好资料存档以便</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进行查阅；作业时必须使用专业的设备、工具，按规范作业。</w:t>
            </w:r>
          </w:p>
        </w:tc>
      </w:tr>
      <w:tr w14:paraId="41B4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4454538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47EA00E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8、作业人员必须按要求统一穿着带反光标识和中标人标志LOGO的全套工作服，着装整齐。</w:t>
            </w:r>
          </w:p>
        </w:tc>
      </w:tr>
      <w:tr w14:paraId="199D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7" w:type="dxa"/>
            <w:vMerge w:val="continue"/>
            <w:vAlign w:val="center"/>
          </w:tcPr>
          <w:p w14:paraId="1024CF8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5CB7BA4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9、水上作业人员必须熟习水性，作业时要穿着救生衣，船上备有救生器材，落实有关安全措施。</w:t>
            </w:r>
          </w:p>
        </w:tc>
      </w:tr>
      <w:tr w14:paraId="08ED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4FE2E9A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6E577FE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10、作业人员要文明作业，不能有打骂、伤害他人等不文明行为，出现上述情况要及时上报。</w:t>
            </w:r>
          </w:p>
        </w:tc>
      </w:tr>
      <w:tr w14:paraId="00CF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202881B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7352ADC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11、做好车辆年审、购买保险、行车记录等相关工作，完善车辆档案。</w:t>
            </w:r>
          </w:p>
        </w:tc>
      </w:tr>
      <w:tr w14:paraId="403B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619A3BA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60C2547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12、必须密切掌握车辆的性能状况，及时维修，不得擅自改装作业车辆、变更用途，杜绝事故隐患。</w:t>
            </w:r>
          </w:p>
        </w:tc>
      </w:tr>
      <w:tr w14:paraId="1689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3FA9721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5D54B88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13、作业人员必须持证上岗，并按作业规范作业。</w:t>
            </w:r>
          </w:p>
        </w:tc>
      </w:tr>
      <w:tr w14:paraId="4A34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7B013EC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3913E55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14、车辆行驶必须严格遵守交通规则。</w:t>
            </w:r>
          </w:p>
        </w:tc>
      </w:tr>
      <w:tr w14:paraId="59D0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294C3AA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1CC15C7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15、车辆作业过程中，作业人员要按作业规范做好安全措施和引导工作。</w:t>
            </w:r>
          </w:p>
        </w:tc>
      </w:tr>
      <w:tr w14:paraId="6B50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1F112B5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44BD508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16、站场内车辆行驶时速不得超过15km/h。</w:t>
            </w:r>
          </w:p>
        </w:tc>
      </w:tr>
      <w:tr w14:paraId="565F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11BF4B7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1E1FD2B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17、在各类作业期间，必须按各工种的操作特性，落实各类的安全警示标志及防护措施，确保人员及财产的安全。</w:t>
            </w:r>
          </w:p>
        </w:tc>
      </w:tr>
      <w:tr w14:paraId="1A15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78A9695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4055809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18、作业区内禁止吸烟或存在明火，落实防火措施，配足性能良好的消防器材，要定期进行检查并做好记录。</w:t>
            </w:r>
          </w:p>
        </w:tc>
      </w:tr>
      <w:tr w14:paraId="50DB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6BE35B5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4A58E62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19、落实安全用电、用火措施，要按安全规范使用用电设施设备，不得乱拉、乱挂、乱接电线，不使用非生产性大功率电器，不得超线路负载使用电器，电动车不能在室内充电。</w:t>
            </w:r>
          </w:p>
        </w:tc>
      </w:tr>
      <w:tr w14:paraId="15AD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02D2611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2400888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20、不得收集易燃、易爆、剧毒、医疗等有危险性的特种垃圾，不得存放易燃、易爆、剧毒等有危险品。</w:t>
            </w:r>
          </w:p>
        </w:tc>
      </w:tr>
      <w:tr w14:paraId="02FA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7133AFF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70908BA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21、</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须向</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提供应急人员名单。</w:t>
            </w:r>
          </w:p>
        </w:tc>
      </w:tr>
      <w:tr w14:paraId="33E9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079FE10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0710BA2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22、环卫设施设备主体损坏影响使用或存在安全隐患的，必须立刻上报</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w:t>
            </w:r>
          </w:p>
        </w:tc>
      </w:tr>
      <w:tr w14:paraId="0217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33DD35B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vAlign w:val="center"/>
          </w:tcPr>
          <w:p w14:paraId="0B15D32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23、有害垃圾收运及分拣时必须做好防护措施，确保人员人身安全。</w:t>
            </w:r>
          </w:p>
        </w:tc>
      </w:tr>
      <w:tr w14:paraId="4CB1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7" w:type="dxa"/>
            <w:vMerge w:val="continue"/>
            <w:vAlign w:val="center"/>
          </w:tcPr>
          <w:p w14:paraId="2F654BC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1" w:type="dxa"/>
          </w:tcPr>
          <w:p w14:paraId="2E9D956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24、发生安全生产事故、交通事故、其它意外事故的，要在1小时内如实上报。</w:t>
            </w:r>
          </w:p>
        </w:tc>
      </w:tr>
    </w:tbl>
    <w:p w14:paraId="4905356E">
      <w:pPr>
        <w:widowControl/>
        <w:snapToGrid w:val="0"/>
        <w:spacing w:line="360" w:lineRule="auto"/>
        <w:jc w:val="left"/>
        <w:rPr>
          <w:rFonts w:hint="eastAsia" w:ascii="仿宋" w:hAnsi="仿宋" w:eastAsia="仿宋"/>
          <w:color w:val="auto"/>
          <w:sz w:val="24"/>
          <w:highlight w:val="none"/>
        </w:rPr>
      </w:pPr>
    </w:p>
    <w:p w14:paraId="2ABE4946">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（2）月检质量检查验收标准：</w:t>
      </w:r>
    </w:p>
    <w:tbl>
      <w:tblPr>
        <w:tblStyle w:val="23"/>
        <w:tblW w:w="10048" w:type="dxa"/>
        <w:jc w:val="center"/>
        <w:tblLayout w:type="fixed"/>
        <w:tblCellMar>
          <w:top w:w="0" w:type="dxa"/>
          <w:left w:w="108" w:type="dxa"/>
          <w:bottom w:w="0" w:type="dxa"/>
          <w:right w:w="108" w:type="dxa"/>
        </w:tblCellMar>
      </w:tblPr>
      <w:tblGrid>
        <w:gridCol w:w="1272"/>
        <w:gridCol w:w="8776"/>
      </w:tblGrid>
      <w:tr w14:paraId="642CC669">
        <w:tblPrEx>
          <w:tblCellMar>
            <w:top w:w="0" w:type="dxa"/>
            <w:left w:w="108" w:type="dxa"/>
            <w:bottom w:w="0" w:type="dxa"/>
            <w:right w:w="108" w:type="dxa"/>
          </w:tblCellMar>
        </w:tblPrEx>
        <w:trPr>
          <w:trHeight w:val="90" w:hRule="atLeast"/>
          <w:jc w:val="center"/>
        </w:trPr>
        <w:tc>
          <w:tcPr>
            <w:tcW w:w="10048" w:type="dxa"/>
            <w:gridSpan w:val="2"/>
            <w:tcBorders>
              <w:top w:val="single" w:color="auto" w:sz="4" w:space="0"/>
              <w:left w:val="single" w:color="auto" w:sz="4" w:space="0"/>
              <w:bottom w:val="single" w:color="auto" w:sz="4" w:space="0"/>
              <w:right w:val="single" w:color="auto" w:sz="4" w:space="0"/>
            </w:tcBorders>
            <w:vAlign w:val="center"/>
          </w:tcPr>
          <w:p w14:paraId="1F7FAD3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检查项目、验收标准</w:t>
            </w:r>
          </w:p>
        </w:tc>
      </w:tr>
      <w:tr w14:paraId="6C365FEE">
        <w:tblPrEx>
          <w:tblCellMar>
            <w:top w:w="0" w:type="dxa"/>
            <w:left w:w="108" w:type="dxa"/>
            <w:bottom w:w="0" w:type="dxa"/>
            <w:right w:w="108" w:type="dxa"/>
          </w:tblCellMar>
        </w:tblPrEx>
        <w:trPr>
          <w:trHeight w:val="425" w:hRule="atLeast"/>
          <w:jc w:val="center"/>
        </w:trPr>
        <w:tc>
          <w:tcPr>
            <w:tcW w:w="1272" w:type="dxa"/>
            <w:vMerge w:val="restart"/>
            <w:tcBorders>
              <w:top w:val="single" w:color="auto" w:sz="4" w:space="0"/>
              <w:left w:val="single" w:color="auto" w:sz="4" w:space="0"/>
              <w:bottom w:val="single" w:color="auto" w:sz="4" w:space="0"/>
              <w:right w:val="single" w:color="auto" w:sz="4" w:space="0"/>
            </w:tcBorders>
            <w:vAlign w:val="center"/>
          </w:tcPr>
          <w:p w14:paraId="404D85F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（一）</w:t>
            </w:r>
          </w:p>
          <w:p w14:paraId="3757063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农村公厕</w:t>
            </w:r>
          </w:p>
        </w:tc>
        <w:tc>
          <w:tcPr>
            <w:tcW w:w="8776" w:type="dxa"/>
            <w:tcBorders>
              <w:top w:val="single" w:color="auto" w:sz="4" w:space="0"/>
              <w:left w:val="nil"/>
              <w:bottom w:val="single" w:color="auto" w:sz="4" w:space="0"/>
              <w:right w:val="single" w:color="auto" w:sz="4" w:space="0"/>
            </w:tcBorders>
          </w:tcPr>
          <w:p w14:paraId="59B8225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1、从6:00～22:00配巡回随脏随保洁，间隔时间不大于1小时，厕所实行全天候免费开放，不得无故关闭影响市民使用，未能达到的每次（处）扣减0.4分</w:t>
            </w:r>
          </w:p>
        </w:tc>
      </w:tr>
      <w:tr w14:paraId="2FAA0D4D">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0D08E8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148032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2、指示牌、标志牌等设施设置规范、明显，未能达到的每次（处）扣减0.2分</w:t>
            </w:r>
          </w:p>
        </w:tc>
      </w:tr>
      <w:tr w14:paraId="792DF78B">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317304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38C580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3、保持水龙头和冲水器的出水量充足，洗手台无积水、水垢，未能达到的每次（处）扣减0.2分</w:t>
            </w:r>
          </w:p>
        </w:tc>
      </w:tr>
      <w:tr w14:paraId="03041915">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34E4F3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A29DEB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4、公厕内采光、照明和通风良好，无明显臭味，白天光线不足的公厕应保持亮灯，未能达到的每次（处）扣减0.2分</w:t>
            </w:r>
          </w:p>
        </w:tc>
      </w:tr>
      <w:tr w14:paraId="416CA616">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673A8B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A75CB6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5、公厕内地面光洁，无积水、无污迹，未能达到的每次（处）扣减0.2分</w:t>
            </w:r>
          </w:p>
        </w:tc>
      </w:tr>
      <w:tr w14:paraId="311FBF87">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29F2EB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4EA511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6、内墙面、天花板、玻璃顶棚、门窗、隔离板、洗手器具、镜子、冲水设备、照明灯具、电器开关和设备等完好，无积灰、污物、污迹、蛛网，无乱涂画乱张贴，外墙面整洁，未能达到的每次（处）扣减0.2分</w:t>
            </w:r>
          </w:p>
        </w:tc>
      </w:tr>
      <w:tr w14:paraId="3B342FCD">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02235C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F7FF83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7、蹲位整洁，大便槽两侧无粪便污物，槽内无积粪，洁净见底，未能达到的每次（处）扣减0.2分</w:t>
            </w:r>
          </w:p>
        </w:tc>
      </w:tr>
      <w:tr w14:paraId="5ED60BD3">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BD818C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072ADC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8、小便槽（斗）无水锈、尿垢、垃圾，基本无臭味；沟眼、管道保持畅通，未能达到的每次（处）扣减0.2分</w:t>
            </w:r>
          </w:p>
        </w:tc>
      </w:tr>
      <w:tr w14:paraId="4FF21706">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C08B5A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896C95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9、公厕管理制度、管理人员等信息上墙，未能达到的每次（处）扣减0.2分</w:t>
            </w:r>
          </w:p>
        </w:tc>
      </w:tr>
      <w:tr w14:paraId="0BC3F9BC">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A05D26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0676B9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10、公厕内外环境整洁，无杂树杂草，无乱堆杂物，无乱拉乱挂，保洁工具放置整齐，未能达到的每次（处）扣减0.2分</w:t>
            </w:r>
          </w:p>
        </w:tc>
      </w:tr>
      <w:tr w14:paraId="56170F70">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4281AC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F8F3EB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11、定时进行除四害、喷洒灭蚊蝇、蟑螂药物，有效控制蝇蛆滋生，无鼠迹、苍蝇存在，有真实的喷药时间和数量记录，未能达到的每次（处）扣减0.2分</w:t>
            </w:r>
          </w:p>
        </w:tc>
      </w:tr>
      <w:tr w14:paraId="4409C16D">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1FD025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5EDA71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12、室内绿化及天台立体绿化管养良好（无枯枝、枯叶、折损枝、缺损株、病虫害等现象），未能达到的每次（处）扣减0.2分</w:t>
            </w:r>
          </w:p>
        </w:tc>
      </w:tr>
      <w:tr w14:paraId="1DD524ED">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D00F00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4E4509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13、公厕的设备、设施损坏要在3天内完成维修，如遇其他特殊情况需延长维修时限的，须通过书面向</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申请并经</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审批后在申请时限内完成维修，维修时做好作业提示，并进行记录，未能达到的每次（处）扣减0.2分</w:t>
            </w:r>
          </w:p>
        </w:tc>
      </w:tr>
      <w:tr w14:paraId="275CAD57">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0EA2F4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59E707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14、若公厕发生改建、拆迁等情况，要及时上报并将情况记录，未能达到的每次（处）扣减0.2分</w:t>
            </w:r>
          </w:p>
        </w:tc>
      </w:tr>
      <w:tr w14:paraId="06CDED58">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711A51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A0839E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15、公厕管理用房整体环境卫生整洁，工具摆放整齐有序，安全规范使用用电设施，不得乱拉、乱挂、乱接电线，不得明火煮食，要配备性能良好的灭火器，定期进行检查并做好记录，未能达到的每次（处）扣减0.2分</w:t>
            </w:r>
          </w:p>
        </w:tc>
      </w:tr>
      <w:tr w14:paraId="162A30EE">
        <w:tblPrEx>
          <w:tblCellMar>
            <w:top w:w="0" w:type="dxa"/>
            <w:left w:w="108" w:type="dxa"/>
            <w:bottom w:w="0" w:type="dxa"/>
            <w:right w:w="108" w:type="dxa"/>
          </w:tblCellMar>
        </w:tblPrEx>
        <w:trPr>
          <w:trHeight w:val="61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4EA750C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23FBD6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16、垃圾必须日产日清，不得焚烧，不得偷倒或者扫入排水口、绿化带和闲置地，未能达到的每次（处）扣减0.4分</w:t>
            </w:r>
          </w:p>
        </w:tc>
      </w:tr>
      <w:tr w14:paraId="42356B6B">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478929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FD5A71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17、按要求配置宣传海报、宣传栏、公示栏、分类指引、分类标识、分类标志等宣传物料，并做好宣传物料日常维护，宣传物料出现陈旧、脱色、破损等情况要及时更换，未能达到的每次（处）扣减0.4分</w:t>
            </w:r>
          </w:p>
        </w:tc>
      </w:tr>
      <w:tr w14:paraId="2DE79237">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CF92DF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E28F40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18、配置垃圾分类标识的垃圾桶，未能达到的每次（处）扣减0.2分</w:t>
            </w:r>
          </w:p>
        </w:tc>
      </w:tr>
      <w:tr w14:paraId="75A418B6">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980457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4DC1E5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19、不能有其它影响环境卫生、市容市貌的现象存在，未能达到的每次（处）扣减0.4分</w:t>
            </w:r>
          </w:p>
        </w:tc>
      </w:tr>
      <w:tr w14:paraId="1A10E48E">
        <w:tblPrEx>
          <w:tblCellMar>
            <w:top w:w="0" w:type="dxa"/>
            <w:left w:w="108" w:type="dxa"/>
            <w:bottom w:w="0" w:type="dxa"/>
            <w:right w:w="108" w:type="dxa"/>
          </w:tblCellMar>
        </w:tblPrEx>
        <w:trPr>
          <w:trHeight w:val="936" w:hRule="atLeast"/>
          <w:jc w:val="center"/>
        </w:trPr>
        <w:tc>
          <w:tcPr>
            <w:tcW w:w="1272" w:type="dxa"/>
            <w:vMerge w:val="restart"/>
            <w:tcBorders>
              <w:top w:val="single" w:color="auto" w:sz="4" w:space="0"/>
              <w:left w:val="single" w:color="auto" w:sz="4" w:space="0"/>
              <w:bottom w:val="single" w:color="auto" w:sz="4" w:space="0"/>
              <w:right w:val="single" w:color="auto" w:sz="4" w:space="0"/>
            </w:tcBorders>
            <w:vAlign w:val="center"/>
          </w:tcPr>
          <w:p w14:paraId="40B76D7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（二）人力清扫及保洁</w:t>
            </w:r>
          </w:p>
        </w:tc>
        <w:tc>
          <w:tcPr>
            <w:tcW w:w="8776" w:type="dxa"/>
            <w:tcBorders>
              <w:top w:val="single" w:color="auto" w:sz="4" w:space="0"/>
              <w:left w:val="nil"/>
              <w:bottom w:val="single" w:color="auto" w:sz="4" w:space="0"/>
              <w:right w:val="single" w:color="auto" w:sz="4" w:space="0"/>
            </w:tcBorders>
          </w:tcPr>
          <w:p w14:paraId="4B76BD9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一类道路保洁要求4:00～7:30全面大扫一次，13:30～17:00全面大扫一次，按照“横向到边，纵向到底”的原则，不得漏扫，上午9：00～12：00和夜间19：00～22：00落实巡回随脏随保洁，未能达到的每次（处）扣减0.4分</w:t>
            </w:r>
          </w:p>
        </w:tc>
      </w:tr>
      <w:tr w14:paraId="329E3220">
        <w:tblPrEx>
          <w:tblCellMar>
            <w:top w:w="0" w:type="dxa"/>
            <w:left w:w="108" w:type="dxa"/>
            <w:bottom w:w="0" w:type="dxa"/>
            <w:right w:w="108" w:type="dxa"/>
          </w:tblCellMar>
        </w:tblPrEx>
        <w:trPr>
          <w:trHeight w:val="906"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340830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09CA40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二类道路保洁要求6:00～8:30全面大扫一次，13:30～16:00全面大扫一次，按照“横向到边，纵向到底”的原则，不得漏扫，上午9：00～11：00和夜间19：00～21：00落实巡回随脏随保洁，未能达到的每次（处）扣减0.4分</w:t>
            </w:r>
          </w:p>
        </w:tc>
      </w:tr>
      <w:tr w14:paraId="273898FC">
        <w:tblPrEx>
          <w:tblCellMar>
            <w:top w:w="0" w:type="dxa"/>
            <w:left w:w="108" w:type="dxa"/>
            <w:bottom w:w="0" w:type="dxa"/>
            <w:right w:w="108" w:type="dxa"/>
          </w:tblCellMar>
        </w:tblPrEx>
        <w:trPr>
          <w:trHeight w:val="582"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DDF8A2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6DDD84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3、一类道路临街、住宅及店铺垃圾收集与清扫保洁同步进行，要求每天上门收集不少于2次，上、下午各1次，未能达到的每次（处）扣减0.2分</w:t>
            </w:r>
          </w:p>
        </w:tc>
      </w:tr>
      <w:tr w14:paraId="3BC89C2A">
        <w:tblPrEx>
          <w:tblCellMar>
            <w:top w:w="0" w:type="dxa"/>
            <w:left w:w="108" w:type="dxa"/>
            <w:bottom w:w="0" w:type="dxa"/>
            <w:right w:w="108" w:type="dxa"/>
          </w:tblCellMar>
        </w:tblPrEx>
        <w:trPr>
          <w:trHeight w:val="58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CAF6FA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38E3F9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4、二类道路临街、住宅及店铺垃圾收集与清扫保洁同步进行，要求每天上门收集不少于2次，上、下午各1次，未能达到的每次（处）扣减0.2分</w:t>
            </w:r>
          </w:p>
        </w:tc>
      </w:tr>
      <w:tr w14:paraId="11DF4519">
        <w:tblPrEx>
          <w:tblCellMar>
            <w:top w:w="0" w:type="dxa"/>
            <w:left w:w="108" w:type="dxa"/>
            <w:bottom w:w="0" w:type="dxa"/>
            <w:right w:w="108" w:type="dxa"/>
          </w:tblCellMar>
        </w:tblPrEx>
        <w:trPr>
          <w:trHeight w:val="632"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CDE635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7E7FF8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5、保洁所收集的垃圾要与收运车辆配合实现由收运车无缝接运，不得擅自设点及裸露堆放，未能达到的每次（处）扣减0.2分</w:t>
            </w:r>
          </w:p>
        </w:tc>
      </w:tr>
      <w:tr w14:paraId="31EDD638">
        <w:tblPrEx>
          <w:tblCellMar>
            <w:top w:w="0" w:type="dxa"/>
            <w:left w:w="108" w:type="dxa"/>
            <w:bottom w:w="0" w:type="dxa"/>
            <w:right w:w="108" w:type="dxa"/>
          </w:tblCellMar>
        </w:tblPrEx>
        <w:trPr>
          <w:trHeight w:val="627"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1C9ED2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3E1BDE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6、下雨天保洁人员不得擅自离岗（遇雷电时要及时躲避），在确保人身安全前提下，及时清理排水口的树叶和垃圾，及时排涝排渍，避免道路出现水浸现象，未能达到的每次（处）扣减0.2分</w:t>
            </w:r>
          </w:p>
        </w:tc>
      </w:tr>
      <w:tr w14:paraId="22C3CA27">
        <w:tblPrEx>
          <w:tblCellMar>
            <w:top w:w="0" w:type="dxa"/>
            <w:left w:w="108" w:type="dxa"/>
            <w:bottom w:w="0" w:type="dxa"/>
            <w:right w:w="108" w:type="dxa"/>
          </w:tblCellMar>
        </w:tblPrEx>
        <w:trPr>
          <w:trHeight w:val="63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56DBF6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FBD592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7、行道树的树穴要进行保洁，清除人行道和树穴内的杂草、苔迹、垃圾、杂物，无瓜果皮核、纸片塑膜、烟蒂、人畜粪便、污迹、鼠迹等存在，未能达到的每次（处）扣减0.2分</w:t>
            </w:r>
          </w:p>
        </w:tc>
      </w:tr>
      <w:tr w14:paraId="64E141BA">
        <w:tblPrEx>
          <w:tblCellMar>
            <w:top w:w="0" w:type="dxa"/>
            <w:left w:w="108" w:type="dxa"/>
            <w:bottom w:w="0" w:type="dxa"/>
            <w:right w:w="108" w:type="dxa"/>
          </w:tblCellMar>
        </w:tblPrEx>
        <w:trPr>
          <w:trHeight w:val="614"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9B0B0D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FC422F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8、及时清理各种原因造成的道路污染和路障，做好安全措施及警示，并视实际需要或应</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要求进行降尘或冲洗，未能达到的每次（处）扣减0.2分</w:t>
            </w:r>
          </w:p>
        </w:tc>
      </w:tr>
      <w:tr w14:paraId="2963C316">
        <w:tblPrEx>
          <w:tblCellMar>
            <w:top w:w="0" w:type="dxa"/>
            <w:left w:w="108" w:type="dxa"/>
            <w:bottom w:w="0" w:type="dxa"/>
            <w:right w:w="108" w:type="dxa"/>
          </w:tblCellMar>
        </w:tblPrEx>
        <w:trPr>
          <w:trHeight w:val="302"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BCCE20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5A966D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9、道路的清扫、保洁的质量标准必须符合以下要求，未能达到的每次（处）扣减0.2分</w:t>
            </w:r>
          </w:p>
          <w:tbl>
            <w:tblPr>
              <w:tblStyle w:val="23"/>
              <w:tblW w:w="0" w:type="auto"/>
              <w:tblInd w:w="108" w:type="dxa"/>
              <w:tblLayout w:type="fixed"/>
              <w:tblCellMar>
                <w:top w:w="0" w:type="dxa"/>
                <w:left w:w="108" w:type="dxa"/>
                <w:bottom w:w="0" w:type="dxa"/>
                <w:right w:w="108" w:type="dxa"/>
              </w:tblCellMar>
            </w:tblPr>
            <w:tblGrid>
              <w:gridCol w:w="1284"/>
              <w:gridCol w:w="1260"/>
              <w:gridCol w:w="1362"/>
              <w:gridCol w:w="1474"/>
              <w:gridCol w:w="1260"/>
              <w:gridCol w:w="1260"/>
            </w:tblGrid>
            <w:tr w14:paraId="6B307884">
              <w:tblPrEx>
                <w:tblCellMar>
                  <w:top w:w="0" w:type="dxa"/>
                  <w:left w:w="108" w:type="dxa"/>
                  <w:bottom w:w="0" w:type="dxa"/>
                  <w:right w:w="108" w:type="dxa"/>
                </w:tblCellMar>
              </w:tblPrEx>
              <w:tc>
                <w:tcPr>
                  <w:tcW w:w="1284" w:type="dxa"/>
                  <w:tcBorders>
                    <w:top w:val="single" w:color="auto" w:sz="4" w:space="0"/>
                    <w:left w:val="single" w:color="auto" w:sz="4" w:space="0"/>
                    <w:bottom w:val="single" w:color="auto" w:sz="4" w:space="0"/>
                    <w:right w:val="single" w:color="auto" w:sz="4" w:space="0"/>
                  </w:tcBorders>
                  <w:vAlign w:val="center"/>
                </w:tcPr>
                <w:p w14:paraId="0605F52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果皮(处/500㎡)</w:t>
                  </w:r>
                </w:p>
              </w:tc>
              <w:tc>
                <w:tcPr>
                  <w:tcW w:w="1260" w:type="dxa"/>
                  <w:tcBorders>
                    <w:top w:val="single" w:color="auto" w:sz="4" w:space="0"/>
                    <w:left w:val="nil"/>
                    <w:bottom w:val="single" w:color="auto" w:sz="4" w:space="0"/>
                    <w:right w:val="single" w:color="auto" w:sz="4" w:space="0"/>
                  </w:tcBorders>
                  <w:vAlign w:val="center"/>
                </w:tcPr>
                <w:p w14:paraId="12CC826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纸屑、塑膜(处/500㎡)</w:t>
                  </w:r>
                </w:p>
              </w:tc>
              <w:tc>
                <w:tcPr>
                  <w:tcW w:w="1362" w:type="dxa"/>
                  <w:tcBorders>
                    <w:top w:val="single" w:color="auto" w:sz="4" w:space="0"/>
                    <w:left w:val="nil"/>
                    <w:bottom w:val="single" w:color="auto" w:sz="4" w:space="0"/>
                    <w:right w:val="single" w:color="auto" w:sz="4" w:space="0"/>
                  </w:tcBorders>
                  <w:vAlign w:val="center"/>
                </w:tcPr>
                <w:p w14:paraId="0908723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烟蒂(处/500㎡)</w:t>
                  </w:r>
                </w:p>
              </w:tc>
              <w:tc>
                <w:tcPr>
                  <w:tcW w:w="1474" w:type="dxa"/>
                  <w:tcBorders>
                    <w:top w:val="single" w:color="auto" w:sz="4" w:space="0"/>
                    <w:left w:val="nil"/>
                    <w:bottom w:val="single" w:color="auto" w:sz="4" w:space="0"/>
                    <w:right w:val="single" w:color="auto" w:sz="4" w:space="0"/>
                  </w:tcBorders>
                  <w:vAlign w:val="center"/>
                </w:tcPr>
                <w:p w14:paraId="3C85456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痰迹、香口胶(处/500㎡)</w:t>
                  </w:r>
                </w:p>
              </w:tc>
              <w:tc>
                <w:tcPr>
                  <w:tcW w:w="1260" w:type="dxa"/>
                  <w:tcBorders>
                    <w:top w:val="single" w:color="auto" w:sz="4" w:space="0"/>
                    <w:left w:val="nil"/>
                    <w:bottom w:val="single" w:color="auto" w:sz="4" w:space="0"/>
                    <w:right w:val="single" w:color="auto" w:sz="4" w:space="0"/>
                  </w:tcBorders>
                  <w:vAlign w:val="center"/>
                </w:tcPr>
                <w:p w14:paraId="7B3EBA6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污水、积水(㎡/500㎡)</w:t>
                  </w:r>
                </w:p>
              </w:tc>
              <w:tc>
                <w:tcPr>
                  <w:tcW w:w="1260" w:type="dxa"/>
                  <w:tcBorders>
                    <w:top w:val="single" w:color="auto" w:sz="4" w:space="0"/>
                    <w:left w:val="nil"/>
                    <w:bottom w:val="single" w:color="auto" w:sz="4" w:space="0"/>
                    <w:right w:val="single" w:color="auto" w:sz="4" w:space="0"/>
                  </w:tcBorders>
                  <w:vAlign w:val="center"/>
                </w:tcPr>
                <w:p w14:paraId="0D6BD8D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其它(处/500㎡)</w:t>
                  </w:r>
                </w:p>
              </w:tc>
            </w:tr>
            <w:tr w14:paraId="367E7598">
              <w:tblPrEx>
                <w:tblCellMar>
                  <w:top w:w="0" w:type="dxa"/>
                  <w:left w:w="108" w:type="dxa"/>
                  <w:bottom w:w="0" w:type="dxa"/>
                  <w:right w:w="108" w:type="dxa"/>
                </w:tblCellMar>
              </w:tblPrEx>
              <w:trPr>
                <w:trHeight w:val="304" w:hRule="atLeast"/>
              </w:trPr>
              <w:tc>
                <w:tcPr>
                  <w:tcW w:w="1284" w:type="dxa"/>
                  <w:tcBorders>
                    <w:top w:val="single" w:color="auto" w:sz="4" w:space="0"/>
                    <w:left w:val="single" w:color="auto" w:sz="4" w:space="0"/>
                    <w:bottom w:val="single" w:color="auto" w:sz="4" w:space="0"/>
                    <w:right w:val="single" w:color="auto" w:sz="4" w:space="0"/>
                  </w:tcBorders>
                  <w:vAlign w:val="center"/>
                </w:tcPr>
                <w:p w14:paraId="414380C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1260" w:type="dxa"/>
                  <w:tcBorders>
                    <w:top w:val="single" w:color="auto" w:sz="4" w:space="0"/>
                    <w:left w:val="nil"/>
                    <w:bottom w:val="single" w:color="auto" w:sz="4" w:space="0"/>
                    <w:right w:val="single" w:color="auto" w:sz="4" w:space="0"/>
                  </w:tcBorders>
                  <w:vAlign w:val="center"/>
                </w:tcPr>
                <w:p w14:paraId="307336E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1362" w:type="dxa"/>
                  <w:tcBorders>
                    <w:top w:val="single" w:color="auto" w:sz="4" w:space="0"/>
                    <w:left w:val="nil"/>
                    <w:bottom w:val="single" w:color="auto" w:sz="4" w:space="0"/>
                    <w:right w:val="single" w:color="auto" w:sz="4" w:space="0"/>
                  </w:tcBorders>
                  <w:vAlign w:val="center"/>
                </w:tcPr>
                <w:p w14:paraId="622A1C5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w:t>
                  </w:r>
                </w:p>
              </w:tc>
              <w:tc>
                <w:tcPr>
                  <w:tcW w:w="1474" w:type="dxa"/>
                  <w:tcBorders>
                    <w:top w:val="single" w:color="auto" w:sz="4" w:space="0"/>
                    <w:left w:val="nil"/>
                    <w:bottom w:val="single" w:color="auto" w:sz="4" w:space="0"/>
                    <w:right w:val="single" w:color="auto" w:sz="4" w:space="0"/>
                  </w:tcBorders>
                  <w:vAlign w:val="center"/>
                </w:tcPr>
                <w:p w14:paraId="715EC4F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w:t>
                  </w:r>
                </w:p>
              </w:tc>
              <w:tc>
                <w:tcPr>
                  <w:tcW w:w="1260" w:type="dxa"/>
                  <w:tcBorders>
                    <w:top w:val="single" w:color="auto" w:sz="4" w:space="0"/>
                    <w:left w:val="nil"/>
                    <w:bottom w:val="single" w:color="auto" w:sz="4" w:space="0"/>
                    <w:right w:val="single" w:color="auto" w:sz="4" w:space="0"/>
                  </w:tcBorders>
                  <w:vAlign w:val="center"/>
                </w:tcPr>
                <w:p w14:paraId="1EC411A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≤0.5</w:t>
                  </w:r>
                </w:p>
              </w:tc>
              <w:tc>
                <w:tcPr>
                  <w:tcW w:w="1260" w:type="dxa"/>
                  <w:tcBorders>
                    <w:top w:val="single" w:color="auto" w:sz="4" w:space="0"/>
                    <w:left w:val="nil"/>
                    <w:bottom w:val="single" w:color="auto" w:sz="4" w:space="0"/>
                    <w:right w:val="single" w:color="auto" w:sz="4" w:space="0"/>
                  </w:tcBorders>
                  <w:vAlign w:val="center"/>
                </w:tcPr>
                <w:p w14:paraId="215B391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w:t>
                  </w:r>
                </w:p>
              </w:tc>
            </w:tr>
          </w:tbl>
          <w:p w14:paraId="3223BA2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tc>
      </w:tr>
      <w:tr w14:paraId="79C18849">
        <w:tblPrEx>
          <w:tblCellMar>
            <w:top w:w="0" w:type="dxa"/>
            <w:left w:w="108" w:type="dxa"/>
            <w:bottom w:w="0" w:type="dxa"/>
            <w:right w:w="108" w:type="dxa"/>
          </w:tblCellMar>
        </w:tblPrEx>
        <w:trPr>
          <w:trHeight w:val="15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1BB45A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FFAB53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道牙石、路沿石、排水口、沙井盖、吊渠口、沟底、花箱、花台、花坛、花圃、廊架、雕塑、座椅等各部位整洁，无积沙、积水、余泥、烟蒂、纸屑、瓜果皮核、痰迹、人畜粪便及其它污物等废弃物，井盖下无垃圾堆积，未能达到的每次（处）扣减0.2分</w:t>
            </w:r>
          </w:p>
        </w:tc>
      </w:tr>
      <w:tr w14:paraId="1A2E4103">
        <w:tblPrEx>
          <w:tblCellMar>
            <w:top w:w="0" w:type="dxa"/>
            <w:left w:w="108" w:type="dxa"/>
            <w:bottom w:w="0" w:type="dxa"/>
            <w:right w:w="108" w:type="dxa"/>
          </w:tblCellMar>
        </w:tblPrEx>
        <w:trPr>
          <w:trHeight w:val="157"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079A5E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F023D2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11、不得有漏扫现象，未能达到的每100㎡每次（处）扣减0.2分，不足100㎡的每次（处）按100㎡进行计算</w:t>
            </w:r>
          </w:p>
        </w:tc>
      </w:tr>
      <w:tr w14:paraId="04FA0B1D">
        <w:tblPrEx>
          <w:tblCellMar>
            <w:top w:w="0" w:type="dxa"/>
            <w:left w:w="108" w:type="dxa"/>
            <w:bottom w:w="0" w:type="dxa"/>
            <w:right w:w="108" w:type="dxa"/>
          </w:tblCellMar>
        </w:tblPrEx>
        <w:trPr>
          <w:trHeight w:val="157"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AA69F0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CD0E99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12、垃圾必须日产日清，不得焚烧，不得偷倒或者扫入河涌、排水口、绿化带、闲置地、居民或商铺门口，未能达到的每次（处）扣减0.4分</w:t>
            </w:r>
          </w:p>
        </w:tc>
      </w:tr>
      <w:tr w14:paraId="2A65E9A5">
        <w:tblPrEx>
          <w:tblCellMar>
            <w:top w:w="0" w:type="dxa"/>
            <w:left w:w="108" w:type="dxa"/>
            <w:bottom w:w="0" w:type="dxa"/>
            <w:right w:w="108" w:type="dxa"/>
          </w:tblCellMar>
        </w:tblPrEx>
        <w:trPr>
          <w:trHeight w:val="157"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6E1074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EE2E26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13、不能有其它影响环境卫生、市容市貌的现象存在，飘蓬、线杆及可视范围内无悬挂的垃圾，未能达到的每次（处）扣减0.4分</w:t>
            </w:r>
          </w:p>
        </w:tc>
      </w:tr>
      <w:tr w14:paraId="1989F6C8">
        <w:tblPrEx>
          <w:tblCellMar>
            <w:top w:w="0" w:type="dxa"/>
            <w:left w:w="108" w:type="dxa"/>
            <w:bottom w:w="0" w:type="dxa"/>
            <w:right w:w="108" w:type="dxa"/>
          </w:tblCellMar>
        </w:tblPrEx>
        <w:trPr>
          <w:trHeight w:val="323" w:hRule="atLeast"/>
          <w:jc w:val="center"/>
        </w:trPr>
        <w:tc>
          <w:tcPr>
            <w:tcW w:w="1272" w:type="dxa"/>
            <w:vMerge w:val="restart"/>
            <w:tcBorders>
              <w:top w:val="single" w:color="auto" w:sz="4" w:space="0"/>
              <w:left w:val="single" w:color="auto" w:sz="4" w:space="0"/>
              <w:bottom w:val="single" w:color="auto" w:sz="4" w:space="0"/>
              <w:right w:val="single" w:color="auto" w:sz="4" w:space="0"/>
            </w:tcBorders>
            <w:vAlign w:val="center"/>
          </w:tcPr>
          <w:p w14:paraId="3FBD958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(三)果皮箱等垃圾收集容器保洁与维护</w:t>
            </w:r>
          </w:p>
        </w:tc>
        <w:tc>
          <w:tcPr>
            <w:tcW w:w="8776" w:type="dxa"/>
            <w:tcBorders>
              <w:top w:val="single" w:color="auto" w:sz="4" w:space="0"/>
              <w:left w:val="nil"/>
              <w:bottom w:val="single" w:color="auto" w:sz="4" w:space="0"/>
              <w:right w:val="single" w:color="auto" w:sz="4" w:space="0"/>
            </w:tcBorders>
          </w:tcPr>
          <w:p w14:paraId="381C97C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1、每2天全面清洗果皮箱等垃圾收集容器一次，每天清倒垃圾不少于两次（上、下午各一次），未能达到的每次（处）扣减0.4分</w:t>
            </w:r>
          </w:p>
        </w:tc>
      </w:tr>
      <w:tr w14:paraId="6F39F6C3">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F381A3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4C475A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2、果皮箱等垃圾收集容器内的垃圾要及时分类收集，不能有满溢现象，未能达到的每次（处）扣减0.2分</w:t>
            </w:r>
          </w:p>
        </w:tc>
      </w:tr>
      <w:tr w14:paraId="7674D9ED">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0FD4C7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2B9125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3、果皮箱等垃圾收集容器外观光洁无明显积垢，内壁清洁，箱体周围、箱底无垃圾堆积、无积水、地面无污迹，未能达到的每次（处）扣减0.2分</w:t>
            </w:r>
          </w:p>
        </w:tc>
      </w:tr>
      <w:tr w14:paraId="16BF0A28">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50D271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64057B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4、果皮箱等垃圾收集容器出现歪斜、松脱、内胆缺失或损坏等情况的，要24小时内维修或更换，未能达到的每次（处）扣减0.2分</w:t>
            </w:r>
          </w:p>
        </w:tc>
      </w:tr>
      <w:tr w14:paraId="0BAF7C6E">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7B3B5E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6B4A85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5、积极配合</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对果皮箱等垃圾收集容器的选址、定点、撤点、搬迁、核量工作，未能达到的每次（处）扣减0.4分</w:t>
            </w:r>
          </w:p>
        </w:tc>
      </w:tr>
      <w:tr w14:paraId="5D5576E8">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1941B7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13F017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6、因施工、投诉等情况导致果皮箱等垃圾收集容器需要搬迁的，</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需配合</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落实果皮箱等垃圾收集容器的选址和搬迁工作；对未能选址的垃圾收集容器，要先进行拆除并收集保存好，待选址完成后及时进行补装，未能达到的每次（处）扣减0.4分</w:t>
            </w:r>
          </w:p>
        </w:tc>
      </w:tr>
      <w:tr w14:paraId="7E15C9AB">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479A60B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1C7410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7、维护好果皮箱等垃圾收集容器的正常使用功能，设施结构损坏以外的维修维护均由社区负责，设施结构损坏等不能使用的情况，要2小时内上报</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并做好安全警示，未能达到的每次（处）扣减0.4分</w:t>
            </w:r>
          </w:p>
        </w:tc>
      </w:tr>
      <w:tr w14:paraId="208F0250">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4848A5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vAlign w:val="center"/>
          </w:tcPr>
          <w:p w14:paraId="41F118D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8、每季度统计果皮箱等垃圾收集容器的数量，并于每季度最后一个月十号前提交书面报告至</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，未能达到的每次（处）扣减0.4分</w:t>
            </w:r>
          </w:p>
        </w:tc>
      </w:tr>
      <w:tr w14:paraId="3A5B9386">
        <w:tblPrEx>
          <w:tblCellMar>
            <w:top w:w="0" w:type="dxa"/>
            <w:left w:w="108" w:type="dxa"/>
            <w:bottom w:w="0" w:type="dxa"/>
            <w:right w:w="108" w:type="dxa"/>
          </w:tblCellMar>
        </w:tblPrEx>
        <w:trPr>
          <w:trHeight w:val="323" w:hRule="atLeast"/>
          <w:jc w:val="center"/>
        </w:trPr>
        <w:tc>
          <w:tcPr>
            <w:tcW w:w="1272" w:type="dxa"/>
            <w:vMerge w:val="restart"/>
            <w:tcBorders>
              <w:top w:val="single" w:color="auto" w:sz="4" w:space="0"/>
              <w:left w:val="single" w:color="auto" w:sz="4" w:space="0"/>
              <w:bottom w:val="single" w:color="auto" w:sz="4" w:space="0"/>
              <w:right w:val="single" w:color="auto" w:sz="4" w:space="0"/>
            </w:tcBorders>
            <w:vAlign w:val="center"/>
          </w:tcPr>
          <w:p w14:paraId="72D22F5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（四）河道、河涌、 护坡、堤岸保洁、公共水体</w:t>
            </w:r>
          </w:p>
        </w:tc>
        <w:tc>
          <w:tcPr>
            <w:tcW w:w="8776" w:type="dxa"/>
            <w:tcBorders>
              <w:top w:val="single" w:color="auto" w:sz="4" w:space="0"/>
              <w:left w:val="nil"/>
              <w:bottom w:val="single" w:color="auto" w:sz="4" w:space="0"/>
              <w:right w:val="single" w:color="auto" w:sz="4" w:space="0"/>
            </w:tcBorders>
          </w:tcPr>
          <w:p w14:paraId="29836F3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1、保洁时间：6：00－18：00（6级或6级以上大风、黄色暴雨警告以上天气除外），未能达到的每次（处）扣减0.4分</w:t>
            </w:r>
          </w:p>
        </w:tc>
      </w:tr>
      <w:tr w14:paraId="6CA2F66A">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AC7D45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A787B5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2、每日须至少两次彻底打捞水面漂浮垃圾和收集护坡垃圾，上、下午各一次，未能达到的每次（处）扣减0.4分</w:t>
            </w:r>
          </w:p>
        </w:tc>
      </w:tr>
      <w:tr w14:paraId="59CC5416">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28EDD3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3C2388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3、水面无大件漂浮垃圾（≥1㎡），小件零星垃圾两件之间最小间距≥20米，单片油污≤10㎡的，出现≥10㎡的油污问题于1小时内上报给</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，未能达到的每次（处）扣减0.2分</w:t>
            </w:r>
          </w:p>
        </w:tc>
      </w:tr>
      <w:tr w14:paraId="0AE435E1">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737370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9043CC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4、堤岸、护坡及周边整洁，无悬挂物、无垃圾杂物堆积、杂草和杂树及时清理，未能达到的每次（处）扣减0.2分</w:t>
            </w:r>
          </w:p>
        </w:tc>
      </w:tr>
      <w:tr w14:paraId="35A190A5">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549E3E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59F53B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5、汛期无条件配合水利部门进行清疏、排灌，未能达到的每次（处）扣减0.2分</w:t>
            </w:r>
          </w:p>
        </w:tc>
      </w:tr>
      <w:tr w14:paraId="411D5ED6">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ACAC61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DD5FDD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6、每天打捞、收集的垃圾要定点吊卸并日产日清，未能达到的每次（处）扣减0.2分</w:t>
            </w:r>
          </w:p>
        </w:tc>
      </w:tr>
      <w:tr w14:paraId="38F90CD1">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907D14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C60339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7、垃圾清运后必须把场地清扫干净，无垃圾和杂物堆放，未能达到的每次（处）扣减0.2分</w:t>
            </w:r>
          </w:p>
        </w:tc>
      </w:tr>
      <w:tr w14:paraId="319EFAC4">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8BAAA4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628BCB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8、垃圾异味太大或有动物残体时要进行密封包装，未能达到的每次（处）扣减0.2分</w:t>
            </w:r>
          </w:p>
        </w:tc>
      </w:tr>
      <w:tr w14:paraId="0E0F6372">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6AEE24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37FB84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9、每天清理拦污网垃圾和杂草，确保拦污网无残留垃圾和杂草，未能达到的每次（处）扣减0.2分</w:t>
            </w:r>
          </w:p>
        </w:tc>
      </w:tr>
      <w:tr w14:paraId="6DF02C34">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5148DD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63E4FB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10、定期检查拦污网等设施，发现损坏及时进行修复或更换，未能达到的每次（处）扣减0.4分</w:t>
            </w:r>
          </w:p>
        </w:tc>
      </w:tr>
      <w:tr w14:paraId="79FD3EC3">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82BE10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C09127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11、船只性能良好，外观无缺损、标志应清晰，未能达到的每次（处）扣减0.4分</w:t>
            </w:r>
          </w:p>
        </w:tc>
      </w:tr>
      <w:tr w14:paraId="660E4A34">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37D80A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E5016A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12、不能有其它影响环境卫生、市容市貌的现象存在，未能达到的每次（处）扣减0.4分</w:t>
            </w:r>
          </w:p>
        </w:tc>
      </w:tr>
      <w:tr w14:paraId="063935B7">
        <w:tblPrEx>
          <w:tblCellMar>
            <w:top w:w="0" w:type="dxa"/>
            <w:left w:w="108" w:type="dxa"/>
            <w:bottom w:w="0" w:type="dxa"/>
            <w:right w:w="108" w:type="dxa"/>
          </w:tblCellMar>
        </w:tblPrEx>
        <w:trPr>
          <w:trHeight w:val="323" w:hRule="atLeast"/>
          <w:jc w:val="center"/>
        </w:trPr>
        <w:tc>
          <w:tcPr>
            <w:tcW w:w="1272" w:type="dxa"/>
            <w:vMerge w:val="restart"/>
            <w:tcBorders>
              <w:top w:val="single" w:color="auto" w:sz="4" w:space="0"/>
              <w:left w:val="single" w:color="auto" w:sz="4" w:space="0"/>
              <w:bottom w:val="single" w:color="auto" w:sz="4" w:space="0"/>
              <w:right w:val="single" w:color="auto" w:sz="4" w:space="0"/>
            </w:tcBorders>
            <w:vAlign w:val="center"/>
          </w:tcPr>
          <w:p w14:paraId="47904DA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（五）</w:t>
            </w:r>
          </w:p>
          <w:p w14:paraId="4605D0D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垃圾分类收集</w:t>
            </w:r>
          </w:p>
        </w:tc>
        <w:tc>
          <w:tcPr>
            <w:tcW w:w="8776" w:type="dxa"/>
            <w:tcBorders>
              <w:top w:val="single" w:color="auto" w:sz="4" w:space="0"/>
              <w:left w:val="nil"/>
              <w:bottom w:val="single" w:color="auto" w:sz="4" w:space="0"/>
              <w:right w:val="single" w:color="auto" w:sz="4" w:space="0"/>
            </w:tcBorders>
          </w:tcPr>
          <w:p w14:paraId="6408BE1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1、垃圾收集必须做到定时日产日清、不得漏收，未能达到的每次（处）扣减0.4分</w:t>
            </w:r>
          </w:p>
        </w:tc>
      </w:tr>
      <w:tr w14:paraId="622B4179">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47F1ED1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0B3775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w:t>
            </w:r>
            <w:r>
              <w:rPr>
                <w:rFonts w:hint="eastAsia" w:ascii="仿宋" w:hAnsi="仿宋" w:eastAsia="仿宋" w:cs="Times New Roman"/>
                <w:color w:val="auto"/>
                <w:sz w:val="24"/>
                <w:highlight w:val="none"/>
              </w:rPr>
              <w:t>负责范围内的各村一天不少于两次的垃圾收集运输工作，</w:t>
            </w:r>
            <w:r>
              <w:rPr>
                <w:rFonts w:hint="eastAsia" w:ascii="仿宋" w:hAnsi="仿宋" w:eastAsia="仿宋"/>
                <w:color w:val="auto"/>
                <w:sz w:val="24"/>
                <w:highlight w:val="none"/>
              </w:rPr>
              <w:t>日产日清，所收集的垃圾按要求分类运到指定垃圾收集站（点）、暂存点或由收运车辆落实无缝接运，不得擅自设点及裸露堆放，未能达到的每次（处）扣减0.2分</w:t>
            </w:r>
            <w:r>
              <w:rPr>
                <w:rFonts w:hint="eastAsia" w:ascii="仿宋" w:hAnsi="仿宋" w:eastAsia="仿宋"/>
                <w:color w:val="auto"/>
                <w:sz w:val="24"/>
                <w:highlight w:val="none"/>
                <w:lang w:eastAsia="zh-CN"/>
              </w:rPr>
              <w:t>。</w:t>
            </w:r>
          </w:p>
        </w:tc>
      </w:tr>
      <w:tr w14:paraId="6608822D">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DFBBDE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424F27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3、负责城区所有临街店铺的垃圾收集，一类道路临街店铺每天要求收集不少于4次，上下午各2次，未能达到的每次（处）扣减0.2分</w:t>
            </w:r>
          </w:p>
        </w:tc>
      </w:tr>
      <w:tr w14:paraId="1D42DECB">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87FA7E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vAlign w:val="center"/>
          </w:tcPr>
          <w:p w14:paraId="33A5036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农村道路工厂、店铺、住宅等垃圾收集与清扫保洁同步进行，要求每天分类收集不少于2次，上、下午各1次，所收集垃圾必须分类运到指定垃圾收集站（点）、暂存点或与收运车辆配合落实无缝接运，不得擅自设点及裸露堆放，未能达到的每次（处）扣减0.2分</w:t>
            </w:r>
          </w:p>
        </w:tc>
      </w:tr>
      <w:tr w14:paraId="4E0B85A7">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E2B120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7B2C9E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5、每天安排专职专车巡回收集路面保洁垃圾，收集次数不少于6次，确保完成最后一轮路面保洁垃圾的收运，未能达到的每次（处）扣减0.2分</w:t>
            </w:r>
          </w:p>
        </w:tc>
      </w:tr>
      <w:tr w14:paraId="7B3369F8">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F09745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ECED9E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6、生活垃圾必须日产日清，对</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辖区范围内的废旧家具、绿化垃圾（市政管养部分除外）、无主装修垃圾、渣土淤泥、水上垃圾、雨污泵站漂浮物及工业垃圾等要24小时内清理，未能达到的每次（处）扣减0.2分</w:t>
            </w:r>
          </w:p>
        </w:tc>
      </w:tr>
      <w:tr w14:paraId="3A966C28">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0DF491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8CC40E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7、生活垃圾以外的其它废弃物要进行分类收集，不得混入生活垃圾一并处理，并按</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要求分类运输到</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指定的中转站或处理场地，未能达到的每次（处）扣减0.4分</w:t>
            </w:r>
          </w:p>
        </w:tc>
      </w:tr>
      <w:tr w14:paraId="4E73D19F">
        <w:tblPrEx>
          <w:tblCellMar>
            <w:top w:w="0" w:type="dxa"/>
            <w:left w:w="108" w:type="dxa"/>
            <w:bottom w:w="0" w:type="dxa"/>
            <w:right w:w="108" w:type="dxa"/>
          </w:tblCellMar>
        </w:tblPrEx>
        <w:trPr>
          <w:trHeight w:val="70"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44FFD9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9C2EF8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必须无条件配合</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开展垃圾分类工作，并对相关的垃圾分类设施进行维护，各类垃圾必须落实分类收集、分类运输、日产日清，未能达到的每次（处）扣减0.4分</w:t>
            </w:r>
          </w:p>
        </w:tc>
      </w:tr>
      <w:tr w14:paraId="655EAD99">
        <w:tblPrEx>
          <w:tblCellMar>
            <w:top w:w="0" w:type="dxa"/>
            <w:left w:w="108" w:type="dxa"/>
            <w:bottom w:w="0" w:type="dxa"/>
            <w:right w:w="108" w:type="dxa"/>
          </w:tblCellMar>
        </w:tblPrEx>
        <w:trPr>
          <w:trHeight w:val="146"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92C9B4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0610AC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9、保洁产生的垃圾要及时由收集车无缝接运，确保保洁的质量与效率，不得擅自设点，不得裸露堆放，未能达到的每次（处）扣减0.2分</w:t>
            </w:r>
          </w:p>
        </w:tc>
      </w:tr>
      <w:tr w14:paraId="2820FB0D">
        <w:tblPrEx>
          <w:tblCellMar>
            <w:top w:w="0" w:type="dxa"/>
            <w:left w:w="108" w:type="dxa"/>
            <w:bottom w:w="0" w:type="dxa"/>
            <w:right w:w="108" w:type="dxa"/>
          </w:tblCellMar>
        </w:tblPrEx>
        <w:trPr>
          <w:trHeight w:val="146"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4FEF5ED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6F836C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10、按要求配置宣传海报、宣传栏、公示栏、分类指引、分类标识、分类标志等宣传物料，并做好宣传物料日常维护，宣传物料出现陈旧、脱色、破损等情况要及时更换，未能达到的每次（处）扣减0.4分</w:t>
            </w:r>
          </w:p>
        </w:tc>
      </w:tr>
      <w:tr w14:paraId="1A762531">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9FECDB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5FFD99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11、垃圾收集车收集垃圾前要清排车箱污水，垃圾在运输过程中不得有洒漏、滴漏等污染道路现象，对洒漏、滴漏等污染道路现象必须清理干净，未能达到的每次（处）扣减0.2分</w:t>
            </w:r>
          </w:p>
        </w:tc>
      </w:tr>
      <w:tr w14:paraId="3E252937">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59A08B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214600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12、随车配备清扫工具，垃圾收集后必须把垃圾分类投放点、收集点（含垃圾屋、垃圾房、暂存点）清扫或冲洗干净，未能达到的每次（处）扣减0.2分</w:t>
            </w:r>
          </w:p>
        </w:tc>
      </w:tr>
      <w:tr w14:paraId="1B16124A">
        <w:tblPrEx>
          <w:tblCellMar>
            <w:top w:w="0" w:type="dxa"/>
            <w:left w:w="108" w:type="dxa"/>
            <w:bottom w:w="0" w:type="dxa"/>
            <w:right w:w="108" w:type="dxa"/>
          </w:tblCellMar>
        </w:tblPrEx>
        <w:trPr>
          <w:trHeight w:val="3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C5D78C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EDD6E7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13、收运垃圾后垃圾容器要按分类放回原位，推送垃圾容器时应轻拿轻放，避免扬尘污染，不得损坏、乱放垃圾容器，未能达到的每次（处）扣减0.2分</w:t>
            </w:r>
          </w:p>
        </w:tc>
      </w:tr>
      <w:tr w14:paraId="15C42087">
        <w:tblPrEx>
          <w:tblCellMar>
            <w:top w:w="0" w:type="dxa"/>
            <w:left w:w="108" w:type="dxa"/>
            <w:bottom w:w="0" w:type="dxa"/>
            <w:right w:w="108" w:type="dxa"/>
          </w:tblCellMar>
        </w:tblPrEx>
        <w:trPr>
          <w:trHeight w:val="49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76E294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D91596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14、垃圾收集车辆遇到维修等特殊情况未能完成垃圾收集，要及时上报和完成车辆调配，并在1小时内完成垃圾收集，未能达到的每次（处）扣减0.2分</w:t>
            </w:r>
          </w:p>
        </w:tc>
      </w:tr>
      <w:tr w14:paraId="1767AAFB">
        <w:tblPrEx>
          <w:tblCellMar>
            <w:top w:w="0" w:type="dxa"/>
            <w:left w:w="108" w:type="dxa"/>
            <w:bottom w:w="0" w:type="dxa"/>
            <w:right w:w="108" w:type="dxa"/>
          </w:tblCellMar>
        </w:tblPrEx>
        <w:trPr>
          <w:trHeight w:val="267"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E61292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B6C906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15、垃圾收集车全面实现密闭化，运输过程中无垃圾扬撒、拖挂和污水滴漏，未能达到的每次（处）扣减0.2分</w:t>
            </w:r>
          </w:p>
        </w:tc>
      </w:tr>
      <w:tr w14:paraId="6F57B3D8">
        <w:tblPrEx>
          <w:tblCellMar>
            <w:top w:w="0" w:type="dxa"/>
            <w:left w:w="108" w:type="dxa"/>
            <w:bottom w:w="0" w:type="dxa"/>
            <w:right w:w="108" w:type="dxa"/>
          </w:tblCellMar>
        </w:tblPrEx>
        <w:trPr>
          <w:trHeight w:val="267"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2D5D32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5FF8CD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16、垃圾必须日产日清，不得焚烧，不得偷倒或者扫入排水口、绿化带和闲置地，未能达到的每次（处）扣减0.4分</w:t>
            </w:r>
          </w:p>
        </w:tc>
      </w:tr>
      <w:tr w14:paraId="28C01122">
        <w:tblPrEx>
          <w:tblCellMar>
            <w:top w:w="0" w:type="dxa"/>
            <w:left w:w="108" w:type="dxa"/>
            <w:bottom w:w="0" w:type="dxa"/>
            <w:right w:w="108" w:type="dxa"/>
          </w:tblCellMar>
        </w:tblPrEx>
        <w:trPr>
          <w:trHeight w:val="267"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F47C45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82194A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17、密闭式垃圾收集容器不能用作定点收集容器，未能达到的每次（处）扣减0.4分</w:t>
            </w:r>
          </w:p>
        </w:tc>
      </w:tr>
      <w:tr w14:paraId="35EB97AF">
        <w:tblPrEx>
          <w:tblCellMar>
            <w:top w:w="0" w:type="dxa"/>
            <w:left w:w="108" w:type="dxa"/>
            <w:bottom w:w="0" w:type="dxa"/>
            <w:right w:w="108" w:type="dxa"/>
          </w:tblCellMar>
        </w:tblPrEx>
        <w:trPr>
          <w:trHeight w:val="267"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00FE1A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3EF7D5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18、</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必须为所有垃圾收集车辆配置垃圾称重设备并正常有效使用，未能达到的每次（处）扣减0.4分</w:t>
            </w:r>
          </w:p>
        </w:tc>
      </w:tr>
      <w:tr w14:paraId="44344432">
        <w:tblPrEx>
          <w:tblCellMar>
            <w:top w:w="0" w:type="dxa"/>
            <w:left w:w="108" w:type="dxa"/>
            <w:bottom w:w="0" w:type="dxa"/>
            <w:right w:w="108" w:type="dxa"/>
          </w:tblCellMar>
        </w:tblPrEx>
        <w:trPr>
          <w:trHeight w:val="90"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A8FEE4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vAlign w:val="center"/>
          </w:tcPr>
          <w:p w14:paraId="20AE2DC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19、每天对</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配置的垃圾分类设施进行垃圾分类收集，要及时清理分类设施的垃圾，每天清理垃圾不少于两次（上、下午各一次），并对错误投放的垃圾进行正确分拣，未能达到的每次（处）扣减0.2分</w:t>
            </w:r>
          </w:p>
        </w:tc>
      </w:tr>
      <w:tr w14:paraId="2C1FBAEA">
        <w:tblPrEx>
          <w:tblCellMar>
            <w:top w:w="0" w:type="dxa"/>
            <w:left w:w="108" w:type="dxa"/>
            <w:bottom w:w="0" w:type="dxa"/>
            <w:right w:w="108" w:type="dxa"/>
          </w:tblCellMar>
        </w:tblPrEx>
        <w:trPr>
          <w:trHeight w:val="267"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6096DC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vAlign w:val="center"/>
          </w:tcPr>
          <w:p w14:paraId="7755736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20、收集垃圾时要使用专业的垃圾收集车辆和收集容器分类装载并运至指定暂存点存放，不得设点裸露随意摆放，未能达到的每次（处）扣减0.2分</w:t>
            </w:r>
          </w:p>
        </w:tc>
      </w:tr>
      <w:tr w14:paraId="7884BE8E">
        <w:tblPrEx>
          <w:tblCellMar>
            <w:top w:w="0" w:type="dxa"/>
            <w:left w:w="108" w:type="dxa"/>
            <w:bottom w:w="0" w:type="dxa"/>
            <w:right w:w="108" w:type="dxa"/>
          </w:tblCellMar>
        </w:tblPrEx>
        <w:trPr>
          <w:trHeight w:val="267"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4C2B82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vAlign w:val="center"/>
          </w:tcPr>
          <w:p w14:paraId="64683B1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21、按要求完成各类垃圾收运、分拣及暂存等工作，未能达到的每次（处）扣减0.2分</w:t>
            </w:r>
          </w:p>
        </w:tc>
      </w:tr>
      <w:tr w14:paraId="245CC574">
        <w:tblPrEx>
          <w:tblCellMar>
            <w:top w:w="0" w:type="dxa"/>
            <w:left w:w="108" w:type="dxa"/>
            <w:bottom w:w="0" w:type="dxa"/>
            <w:right w:w="108" w:type="dxa"/>
          </w:tblCellMar>
        </w:tblPrEx>
        <w:trPr>
          <w:trHeight w:val="267"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1E9AE0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B2E6AC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22、不能有其它影响环境卫生、市容市貌的现象存在，未能达到的每次（处）扣减0.4分</w:t>
            </w:r>
          </w:p>
        </w:tc>
      </w:tr>
      <w:tr w14:paraId="75F85C75">
        <w:tblPrEx>
          <w:tblCellMar>
            <w:top w:w="0" w:type="dxa"/>
            <w:left w:w="108" w:type="dxa"/>
            <w:bottom w:w="0" w:type="dxa"/>
            <w:right w:w="108" w:type="dxa"/>
          </w:tblCellMar>
        </w:tblPrEx>
        <w:trPr>
          <w:trHeight w:val="338" w:hRule="atLeast"/>
          <w:jc w:val="center"/>
        </w:trPr>
        <w:tc>
          <w:tcPr>
            <w:tcW w:w="1272" w:type="dxa"/>
            <w:vMerge w:val="restart"/>
            <w:tcBorders>
              <w:top w:val="single" w:color="auto" w:sz="4" w:space="0"/>
              <w:left w:val="single" w:color="auto" w:sz="4" w:space="0"/>
              <w:bottom w:val="single" w:color="auto" w:sz="4" w:space="0"/>
              <w:right w:val="single" w:color="auto" w:sz="4" w:space="0"/>
            </w:tcBorders>
            <w:vAlign w:val="center"/>
          </w:tcPr>
          <w:p w14:paraId="360A5D6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（六）</w:t>
            </w:r>
          </w:p>
          <w:p w14:paraId="0A776C5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车辆及环卫信息监管</w:t>
            </w:r>
          </w:p>
        </w:tc>
        <w:tc>
          <w:tcPr>
            <w:tcW w:w="8776" w:type="dxa"/>
            <w:tcBorders>
              <w:top w:val="single" w:color="auto" w:sz="4" w:space="0"/>
              <w:left w:val="nil"/>
              <w:bottom w:val="single" w:color="auto" w:sz="4" w:space="0"/>
              <w:right w:val="single" w:color="auto" w:sz="4" w:space="0"/>
            </w:tcBorders>
          </w:tcPr>
          <w:p w14:paraId="3ECD301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1、车辆性能良好，车牌标识清楚、外观无缺损，专用标志、分类标识清晰准确，车尾应有反光标志，未能达到的每次每辆扣减0.2分</w:t>
            </w:r>
          </w:p>
        </w:tc>
      </w:tr>
      <w:tr w14:paraId="2421476A">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3A5DBC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1CA8DD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2、车容整洁，无残留垃圾、无陈旧积泥、无滋生蝇蛆，未能达到的每次每辆扣减0.2分</w:t>
            </w:r>
          </w:p>
        </w:tc>
      </w:tr>
      <w:tr w14:paraId="123C4514">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45C6AB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80DFD7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3、作业结束后必须及时把车辆擦洗干净，并按指定位置停放好，未能达到的每次每辆扣减0.2分</w:t>
            </w:r>
          </w:p>
        </w:tc>
      </w:tr>
      <w:tr w14:paraId="2ED1ABA4">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DFA1CD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B399E4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4、按要求定期翻新或更新作业车辆外观，并按</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要求统一车辆标识，未能达到的每次每辆扣减0.4分</w:t>
            </w:r>
          </w:p>
        </w:tc>
      </w:tr>
      <w:tr w14:paraId="63F5D13D">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526113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C738FA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5、车箱体周边不能有悬挂杂物的现象，未能达到的每次每辆扣减0.2分</w:t>
            </w:r>
          </w:p>
        </w:tc>
      </w:tr>
      <w:tr w14:paraId="696E2347">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4A2991F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F52E5E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6、车辆驾驶室要保持整洁，不能堆放杂物，工具摆放整齐，并配备性能良好的灭火器及警示标志，未能达到的每次每辆扣减0.2分</w:t>
            </w:r>
          </w:p>
        </w:tc>
      </w:tr>
      <w:tr w14:paraId="491A4757">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ACBECB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8F7C51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7、司机按规定时间、路线准时出车工作，车辆作业线路不得随意更改，须经</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书面同意后方可实施，若遇车辆维修等特殊情况需要更换指定车辆的，要及时上报，未能达到的每次每辆扣减0.2分</w:t>
            </w:r>
          </w:p>
        </w:tc>
      </w:tr>
      <w:tr w14:paraId="6EF6186A">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0F5018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975A40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8、车辆作业时不能违反交通规则和做好安全措施，未能达到的每次每辆扣减0.4分</w:t>
            </w:r>
          </w:p>
        </w:tc>
      </w:tr>
      <w:tr w14:paraId="65ABD190">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AC319D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6E46D1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9、安全、文明作业，尽量减少噪音扰民、妨碍交通现象，未能达到的每次每辆扣减0.4分</w:t>
            </w:r>
          </w:p>
        </w:tc>
      </w:tr>
      <w:tr w14:paraId="61604A22">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D48CAF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F55656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10、清扫车辆称重前要清排污水和清空水箱再进行称重，未能达到的每次每辆扣减0.4分</w:t>
            </w:r>
          </w:p>
        </w:tc>
      </w:tr>
      <w:tr w14:paraId="08EAE522">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B1F7BE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9262EC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无条件协助</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完成桂城智慧城市管家(市政)管理平台的建设工作，并且达到</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各项功能的使用要求，未能达到的每次每辆扣减2分</w:t>
            </w:r>
          </w:p>
        </w:tc>
      </w:tr>
      <w:tr w14:paraId="10B7B6B0">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FC013C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7CA044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12、</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必须按要求配置1人或以上的平台管理人员，未能达到的每缺一人每月扣减0.6分并按日检扣减条款处理</w:t>
            </w:r>
          </w:p>
        </w:tc>
      </w:tr>
      <w:tr w14:paraId="69390A74">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99B1C0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59D0D7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13、所有作业车辆必须按确认书要求安装车载设备：①所有作业车辆的车载设备数据能直接接入桂城智慧城市管家(市政)管理平台，车载设备至少需具有GPS、视频及作业状态监管等功能，并能满足平台日常监管需求；②确保所有作业车辆的车载设备能够不间断有效工作，如该设备出现故障或车辆故障导致数据异常或缺失的，要及时上报并进行修复处理。以上情况未能达到的每次每辆扣减0.4分</w:t>
            </w:r>
          </w:p>
        </w:tc>
      </w:tr>
      <w:tr w14:paraId="429D7765">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70E95A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9A108C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14、管理平台日常使用中发现的问题需做好记录，并及时进行上报，未能达到的每次（处）扣减0.4分</w:t>
            </w:r>
          </w:p>
        </w:tc>
      </w:tr>
      <w:tr w14:paraId="4C55417E">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07ED73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CC459A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15、管理平台各类交办的案件需按照</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要求，按时按质进行回复，并做好相关资料存档工作，未能达到的每次（处）扣减0.4分</w:t>
            </w:r>
          </w:p>
        </w:tc>
      </w:tr>
      <w:tr w14:paraId="1210F0C9">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EB89F8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A4E89F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16、管理平台日常使用中，社区需无条件配合</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对平台的管理工作，不能出现延迟响应、拒不执行等情况，未能达到的每次（处）扣减0.6分</w:t>
            </w:r>
          </w:p>
        </w:tc>
      </w:tr>
      <w:tr w14:paraId="11019DCE">
        <w:tblPrEx>
          <w:tblCellMar>
            <w:top w:w="0" w:type="dxa"/>
            <w:left w:w="108" w:type="dxa"/>
            <w:bottom w:w="0" w:type="dxa"/>
            <w:right w:w="108" w:type="dxa"/>
          </w:tblCellMar>
        </w:tblPrEx>
        <w:trPr>
          <w:trHeight w:val="338" w:hRule="atLeast"/>
          <w:jc w:val="center"/>
        </w:trPr>
        <w:tc>
          <w:tcPr>
            <w:tcW w:w="1272" w:type="dxa"/>
            <w:vMerge w:val="restart"/>
            <w:tcBorders>
              <w:top w:val="single" w:color="auto" w:sz="4" w:space="0"/>
              <w:left w:val="single" w:color="auto" w:sz="4" w:space="0"/>
              <w:bottom w:val="single" w:color="auto" w:sz="4" w:space="0"/>
              <w:right w:val="single" w:color="auto" w:sz="4" w:space="0"/>
            </w:tcBorders>
            <w:vAlign w:val="center"/>
          </w:tcPr>
          <w:p w14:paraId="0B8C953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（七）</w:t>
            </w:r>
          </w:p>
          <w:p w14:paraId="52B4197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工具、工具房（点）、取水点管理</w:t>
            </w:r>
          </w:p>
        </w:tc>
        <w:tc>
          <w:tcPr>
            <w:tcW w:w="8776" w:type="dxa"/>
            <w:tcBorders>
              <w:top w:val="single" w:color="auto" w:sz="4" w:space="0"/>
              <w:left w:val="nil"/>
              <w:bottom w:val="single" w:color="auto" w:sz="4" w:space="0"/>
              <w:right w:val="single" w:color="auto" w:sz="4" w:space="0"/>
            </w:tcBorders>
            <w:vAlign w:val="center"/>
          </w:tcPr>
          <w:p w14:paraId="12A4750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1、工具房整体环境卫生整洁、干净，无积水，并加上门锁，未能达到的每次（处）扣减0.2分</w:t>
            </w:r>
          </w:p>
        </w:tc>
      </w:tr>
      <w:tr w14:paraId="215E4CC7">
        <w:tblPrEx>
          <w:tblCellMar>
            <w:top w:w="0" w:type="dxa"/>
            <w:left w:w="108" w:type="dxa"/>
            <w:bottom w:w="0" w:type="dxa"/>
            <w:right w:w="108" w:type="dxa"/>
          </w:tblCellMar>
        </w:tblPrEx>
        <w:trPr>
          <w:trHeight w:val="29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4C41D2E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vAlign w:val="center"/>
          </w:tcPr>
          <w:p w14:paraId="14452E9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2、劳动作业工具摆放整齐、有序，未能达到的每次（处）扣减0.2分</w:t>
            </w:r>
          </w:p>
        </w:tc>
      </w:tr>
      <w:tr w14:paraId="02628192">
        <w:tblPrEx>
          <w:tblCellMar>
            <w:top w:w="0" w:type="dxa"/>
            <w:left w:w="108" w:type="dxa"/>
            <w:bottom w:w="0" w:type="dxa"/>
            <w:right w:w="108" w:type="dxa"/>
          </w:tblCellMar>
        </w:tblPrEx>
        <w:trPr>
          <w:trHeight w:val="17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462296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vAlign w:val="center"/>
          </w:tcPr>
          <w:p w14:paraId="3FF10A1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3、不得存放非生产性用品、危险化学品，未能达到的每次（处）扣减0.2分</w:t>
            </w:r>
          </w:p>
        </w:tc>
      </w:tr>
      <w:tr w14:paraId="797FD79E">
        <w:tblPrEx>
          <w:tblCellMar>
            <w:top w:w="0" w:type="dxa"/>
            <w:left w:w="108" w:type="dxa"/>
            <w:bottom w:w="0" w:type="dxa"/>
            <w:right w:w="108" w:type="dxa"/>
          </w:tblCellMar>
        </w:tblPrEx>
        <w:trPr>
          <w:trHeight w:val="172"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C2A5BD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vAlign w:val="center"/>
          </w:tcPr>
          <w:p w14:paraId="30F0A51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4、取水点损坏要及时维修，定期全面翻新，做好反光标识；排队等候或取水时车辆要熄火，文明有序进行取水，减少人为噪音；水阀使用后关紧上锁，不能有漏水现象，未能达到的每次（处）扣减0.2分</w:t>
            </w:r>
          </w:p>
        </w:tc>
      </w:tr>
      <w:tr w14:paraId="63E338BF">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424F21A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vAlign w:val="center"/>
          </w:tcPr>
          <w:p w14:paraId="20468F8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5、工人的车辆不得乱停乱放，未能达到的每次（处）扣减0.2分</w:t>
            </w:r>
          </w:p>
        </w:tc>
      </w:tr>
      <w:tr w14:paraId="6611A490">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062E71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vAlign w:val="center"/>
          </w:tcPr>
          <w:p w14:paraId="750015B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6、工具房要配备性能良好的灭火器，要定期进行检查并做好记录，未能达到的每次（处）扣减0.2分</w:t>
            </w:r>
          </w:p>
        </w:tc>
      </w:tr>
      <w:tr w14:paraId="4836B15A">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45AF4A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vAlign w:val="center"/>
          </w:tcPr>
          <w:p w14:paraId="0236DAA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7、维护好工具房的正常使用功能，除主结构损坏外的维修均由社区负责，未能达到的每次（处）扣减0.2分</w:t>
            </w:r>
          </w:p>
        </w:tc>
      </w:tr>
      <w:tr w14:paraId="03AB69E0">
        <w:tblPrEx>
          <w:tblCellMar>
            <w:top w:w="0" w:type="dxa"/>
            <w:left w:w="108" w:type="dxa"/>
            <w:bottom w:w="0" w:type="dxa"/>
            <w:right w:w="108" w:type="dxa"/>
          </w:tblCellMar>
        </w:tblPrEx>
        <w:trPr>
          <w:trHeight w:val="68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F9F35F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D8F4C4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8、按要求定期翻新或更新工具、作业斗车、电动车、取水点等设施设备，未能达到的每次（处）扣减0.4分</w:t>
            </w:r>
          </w:p>
        </w:tc>
      </w:tr>
      <w:tr w14:paraId="43D3AAB5">
        <w:tblPrEx>
          <w:tblCellMar>
            <w:top w:w="0" w:type="dxa"/>
            <w:left w:w="108" w:type="dxa"/>
            <w:bottom w:w="0" w:type="dxa"/>
            <w:right w:w="108" w:type="dxa"/>
          </w:tblCellMar>
        </w:tblPrEx>
        <w:trPr>
          <w:trHeight w:val="39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9138C1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B61735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9、按要求配置宣传海报、宣传栏、公示栏、分类指引、分类标识、分类标志等宣传物料，并做好宣传物料日常维护，宣传物料出现陈旧、脱色、破损等情况要及时更换，未能达到的每次（处）扣减0.4分</w:t>
            </w:r>
          </w:p>
        </w:tc>
      </w:tr>
      <w:tr w14:paraId="7CA6DB97">
        <w:tblPrEx>
          <w:tblCellMar>
            <w:top w:w="0" w:type="dxa"/>
            <w:left w:w="108" w:type="dxa"/>
            <w:bottom w:w="0" w:type="dxa"/>
            <w:right w:w="108" w:type="dxa"/>
          </w:tblCellMar>
        </w:tblPrEx>
        <w:trPr>
          <w:trHeight w:val="39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70E81D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550774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10、及时清洗工具房房顶，清理房顶积存垃圾杂物，未能达到的每次（处）扣减0.4分</w:t>
            </w:r>
          </w:p>
        </w:tc>
      </w:tr>
      <w:tr w14:paraId="3DB81967">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34F4E8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5743CD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11、不能有其它影响环境卫生、市容市貌的现象存在，未能达到的每次（处）扣减0.4分</w:t>
            </w:r>
          </w:p>
        </w:tc>
      </w:tr>
      <w:tr w14:paraId="6867A165">
        <w:tblPrEx>
          <w:tblCellMar>
            <w:top w:w="0" w:type="dxa"/>
            <w:left w:w="108" w:type="dxa"/>
            <w:bottom w:w="0" w:type="dxa"/>
            <w:right w:w="108" w:type="dxa"/>
          </w:tblCellMar>
        </w:tblPrEx>
        <w:trPr>
          <w:trHeight w:val="413" w:hRule="atLeast"/>
          <w:jc w:val="center"/>
        </w:trPr>
        <w:tc>
          <w:tcPr>
            <w:tcW w:w="1272" w:type="dxa"/>
            <w:vMerge w:val="restart"/>
            <w:tcBorders>
              <w:top w:val="single" w:color="auto" w:sz="4" w:space="0"/>
              <w:left w:val="single" w:color="auto" w:sz="4" w:space="0"/>
              <w:bottom w:val="single" w:color="auto" w:sz="4" w:space="0"/>
              <w:right w:val="single" w:color="auto" w:sz="4" w:space="0"/>
            </w:tcBorders>
            <w:vAlign w:val="center"/>
          </w:tcPr>
          <w:p w14:paraId="089DBA3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（八）</w:t>
            </w:r>
          </w:p>
          <w:p w14:paraId="4C94B02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垃圾中转站站场管理</w:t>
            </w:r>
          </w:p>
        </w:tc>
        <w:tc>
          <w:tcPr>
            <w:tcW w:w="8776" w:type="dxa"/>
            <w:tcBorders>
              <w:top w:val="single" w:color="auto" w:sz="4" w:space="0"/>
              <w:left w:val="nil"/>
              <w:bottom w:val="single" w:color="auto" w:sz="4" w:space="0"/>
              <w:right w:val="single" w:color="auto" w:sz="4" w:space="0"/>
            </w:tcBorders>
          </w:tcPr>
          <w:p w14:paraId="6CEDE57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1、垃圾中转站开放时间为6:00～23：30，如遇特殊情况的需及时调整开放时间，以确保完成垃圾收运工作，未能达到的每次（处）扣减0.4分</w:t>
            </w:r>
          </w:p>
        </w:tc>
      </w:tr>
      <w:tr w14:paraId="27369FC5">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71B8B5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1C58B7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2、积极配合</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工作，垃圾必须做到日产日清，必须分类收集堆放不得在站内外裸露堆放垃圾，未能达到的每次（处）扣减0.4分</w:t>
            </w:r>
          </w:p>
        </w:tc>
      </w:tr>
      <w:tr w14:paraId="69D6F029">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6E4C00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05F8E3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3、站内设施基本保持完好无缺损，负责站场设施维护，要配备性能良好的灭火器材，定期进行检查并做好记录，未能达到的每次（处）扣减0.4分</w:t>
            </w:r>
          </w:p>
        </w:tc>
      </w:tr>
      <w:tr w14:paraId="6F9261CC">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678BED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EE56B1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4、未经</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批准，社区不得收取外来垃圾、非工作人员不得入站，未能达到的每次（处）扣减0.4分</w:t>
            </w:r>
          </w:p>
        </w:tc>
      </w:tr>
      <w:tr w14:paraId="6DC146E8">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558483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C27F0D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5、车辆进出有序，必须按站场各功能区域作业要求进行作业，未能达到的每次（处）扣减0.2分</w:t>
            </w:r>
          </w:p>
        </w:tc>
      </w:tr>
      <w:tr w14:paraId="3BAFD2C4">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353126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E70841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6、作业车辆必须按要求专车专卡进行称重，发现未刷卡、刷错卡或重复刷卡，未能达到的每次（处）扣减0.4分，并作出书面说明情况</w:t>
            </w:r>
          </w:p>
        </w:tc>
      </w:tr>
      <w:tr w14:paraId="3B83376E">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D0B953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AA5A62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7、称重系统或称重系统数据出现异常时，</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不得擅自操作称重系统或修改称重系统数据，要立刻通知</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进行处理，未能达到的每次（处）扣减1分</w:t>
            </w:r>
          </w:p>
        </w:tc>
      </w:tr>
      <w:tr w14:paraId="20CDD34E">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9AF467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BB8D57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8、车辆、人员出入站场必须按要求进行登记，站场的管理制度、车辆出入记录、除四害消杀记录等相关资料必须在站场明显地方上墙，未能达到的每次（处）扣减0.4分</w:t>
            </w:r>
          </w:p>
        </w:tc>
      </w:tr>
      <w:tr w14:paraId="6BEE5517">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323FDC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810675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9、分拣的可回收物必须当天清走，不得堆积杂物，劳动工具定点有序摆放，未能达到的每次（处）扣减0.2分</w:t>
            </w:r>
          </w:p>
        </w:tc>
      </w:tr>
      <w:tr w14:paraId="7EA09194">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CD2571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5B2957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10、沟渠畅通，无垃圾积聚、及时清排污水，未能达到的每次（处）扣减0.2分</w:t>
            </w:r>
          </w:p>
        </w:tc>
      </w:tr>
      <w:tr w14:paraId="55F5D604">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C5BEA8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C5BB5C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11、在生产辗压过程中工作人员必须佩戴口罩和安全头盔，未能达到的每次（处）扣减0.4分</w:t>
            </w:r>
          </w:p>
        </w:tc>
      </w:tr>
      <w:tr w14:paraId="1D7069E4">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A5495A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B9C2F3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12、在生产辗压过程中喷淋防尘除臭必须以雾化降尘方式进行，未能达到的每次（处）扣减0.6分</w:t>
            </w:r>
          </w:p>
        </w:tc>
      </w:tr>
      <w:tr w14:paraId="200745B3">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FC42E3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CE390F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13、下班前必须把站场清理干净，保持站场整体清洁干净，未能达到的每次（处）扣减0.2分</w:t>
            </w:r>
          </w:p>
        </w:tc>
      </w:tr>
      <w:tr w14:paraId="4B1908CF">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F9794D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7ED440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14、要定期落实四害防治措施，四害密度不能超标，未能达到的每次（处）扣减0.4分</w:t>
            </w:r>
          </w:p>
        </w:tc>
      </w:tr>
      <w:tr w14:paraId="737E31A8">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81CD8C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A32B5A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15、实行24小时值班制度，确保完成最后一轮保洁垃圾的收运，未能达到的每次（处）扣减0.2分</w:t>
            </w:r>
          </w:p>
        </w:tc>
      </w:tr>
      <w:tr w14:paraId="74087537">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116490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A0A3BC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16、安全、文明作业，尽量减少噪音扰民、妨碍交通现象，未能达到的每次（处）扣减0.4分</w:t>
            </w:r>
          </w:p>
        </w:tc>
      </w:tr>
      <w:tr w14:paraId="428B7B78">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17C6EE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E3A13E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17、垃圾中转站周边要保持清洁，未能达到的每次（处）扣减0.2分</w:t>
            </w:r>
          </w:p>
        </w:tc>
      </w:tr>
      <w:tr w14:paraId="76E15B9E">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047C80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AC3089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18、</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必须在所有垃圾中转站安装并使用降尘、除臭设施设备，并达到城市管理考评和环保要求等考核标准，未能达到的每次（处）扣减0.4分</w:t>
            </w:r>
          </w:p>
        </w:tc>
      </w:tr>
      <w:tr w14:paraId="4782537F">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4E5D77B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813BEC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19、按要求配置宣传海报、宣传栏、公示栏、分类指引、分类标识、分类标志等宣传物料，并做好宣传物料日常维护，宣传物料出现陈旧、脱色、破损等情况要及时更换，未能达到的每次（处）扣减0.4分</w:t>
            </w:r>
          </w:p>
        </w:tc>
      </w:tr>
      <w:tr w14:paraId="5F1178E1">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79D2D2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7ED98E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20、饭堂管理必须符合以下要求，未能达到的每次（处）扣减0.2分</w:t>
            </w:r>
          </w:p>
          <w:p w14:paraId="1E30EC5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（1）饭堂及从业人员证照齐全</w:t>
            </w:r>
          </w:p>
          <w:p w14:paraId="0C297DA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（2）内部环境卫生干净、整洁，餐台餐椅摆放整齐</w:t>
            </w:r>
          </w:p>
          <w:p w14:paraId="39847DA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（3）严把食物购进关，厨房餐具要按卫生规定进行消毒处理，杜绝集体食物中毒事故发生</w:t>
            </w:r>
          </w:p>
          <w:p w14:paraId="01E228F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（4）工作人员严格按照集体饭堂操作规程操作</w:t>
            </w:r>
          </w:p>
          <w:p w14:paraId="28C94B4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（5）落实防蝇、防鼠、防尘的“三防”措施</w:t>
            </w:r>
          </w:p>
          <w:p w14:paraId="44ED8BB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（6）落实安全用电措施，不得乱拉、乱挂、乱接电线，不使用非生产性大功率电器</w:t>
            </w:r>
          </w:p>
        </w:tc>
      </w:tr>
      <w:tr w14:paraId="1283D6F1">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6E45FA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6DEF04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21、宿舍管理必须符合以下要求，未能达到的每次（处）扣减0.2分</w:t>
            </w:r>
          </w:p>
          <w:p w14:paraId="2814924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（1）宿舍内环境卫生干净，床上用品及家具摆放整齐有序，天花板无蜘蛛网</w:t>
            </w:r>
          </w:p>
          <w:p w14:paraId="13A6BF8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（2）不得摆放生产劳动工具，不得存放废旧物品</w:t>
            </w:r>
          </w:p>
          <w:p w14:paraId="0E1C0FB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（3）要在指定地点晾晒衣服，不得乱搭乱挂</w:t>
            </w:r>
          </w:p>
          <w:p w14:paraId="2E2B257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（4）集体宿舍内不得明火、煮食</w:t>
            </w:r>
          </w:p>
          <w:p w14:paraId="56CD033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（5）落实安全用电措施，不得乱拉、乱挂、乱接电线，不使用非生产性大功率电器</w:t>
            </w:r>
          </w:p>
          <w:p w14:paraId="1D0A590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（6）公共走廊、走火通道必须保持畅通无阻，并配足性能良好的灭火器材及消防设施</w:t>
            </w:r>
          </w:p>
          <w:p w14:paraId="528C025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（7）未经批准，不得留非工作人员在宿舍过夜</w:t>
            </w:r>
          </w:p>
        </w:tc>
      </w:tr>
      <w:tr w14:paraId="3F991D18">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56C2D5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2DC004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22、厕所管理必须符合以下要求，未能达到的每次（处）扣减0.2分</w:t>
            </w:r>
          </w:p>
          <w:p w14:paraId="32A783A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（1）大、小便池无积垢</w:t>
            </w:r>
          </w:p>
          <w:p w14:paraId="450E201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（2）基本无臭味、无蝇蛆</w:t>
            </w:r>
          </w:p>
          <w:p w14:paraId="106C7D9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（3）地面、墙壁干净，天花板无蜘蛛网</w:t>
            </w:r>
          </w:p>
          <w:p w14:paraId="3737CA3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（4）设施完好无缺损</w:t>
            </w:r>
          </w:p>
          <w:p w14:paraId="695DCE2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（5）做好站内厕所抽粪工作，每年抽粪不少于两次，并做好记录</w:t>
            </w:r>
          </w:p>
          <w:p w14:paraId="7DD5DCA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（6）做好站内厕所消杀除四害工作，毎月不少于两次，并做好记录</w:t>
            </w:r>
          </w:p>
        </w:tc>
      </w:tr>
      <w:tr w14:paraId="10F17F0E">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A47510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B0D145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23、不能有其它影响环境卫生、市容市貌的现象存在，未能达到的每次（处）扣减0.4分</w:t>
            </w:r>
          </w:p>
        </w:tc>
      </w:tr>
      <w:tr w14:paraId="0A1B202C">
        <w:tblPrEx>
          <w:tblCellMar>
            <w:top w:w="0" w:type="dxa"/>
            <w:left w:w="108" w:type="dxa"/>
            <w:bottom w:w="0" w:type="dxa"/>
            <w:right w:w="108" w:type="dxa"/>
          </w:tblCellMar>
        </w:tblPrEx>
        <w:trPr>
          <w:trHeight w:val="338" w:hRule="atLeast"/>
          <w:jc w:val="center"/>
        </w:trPr>
        <w:tc>
          <w:tcPr>
            <w:tcW w:w="1272" w:type="dxa"/>
            <w:vMerge w:val="restart"/>
            <w:tcBorders>
              <w:top w:val="single" w:color="auto" w:sz="4" w:space="0"/>
              <w:left w:val="single" w:color="auto" w:sz="4" w:space="0"/>
              <w:bottom w:val="single" w:color="auto" w:sz="4" w:space="0"/>
              <w:right w:val="single" w:color="auto" w:sz="4" w:space="0"/>
            </w:tcBorders>
            <w:vAlign w:val="center"/>
          </w:tcPr>
          <w:p w14:paraId="29FEA80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（九）</w:t>
            </w:r>
          </w:p>
          <w:p w14:paraId="372E364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乱张贴、乱涂画清理</w:t>
            </w:r>
          </w:p>
        </w:tc>
        <w:tc>
          <w:tcPr>
            <w:tcW w:w="8776" w:type="dxa"/>
            <w:tcBorders>
              <w:top w:val="single" w:color="auto" w:sz="4" w:space="0"/>
              <w:left w:val="single" w:color="auto" w:sz="4" w:space="0"/>
              <w:bottom w:val="single" w:color="auto" w:sz="4" w:space="0"/>
              <w:right w:val="single" w:color="auto" w:sz="4" w:space="0"/>
            </w:tcBorders>
          </w:tcPr>
          <w:p w14:paraId="123F8E4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1、每天作业时间内清理辖区范围内的乱张贴和乱涂画，未能达到的每次（处）扣减0.4分</w:t>
            </w:r>
          </w:p>
        </w:tc>
      </w:tr>
      <w:tr w14:paraId="1E476DB8">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161748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single" w:color="auto" w:sz="4" w:space="0"/>
              <w:bottom w:val="single" w:color="auto" w:sz="4" w:space="0"/>
              <w:right w:val="single" w:color="auto" w:sz="4" w:space="0"/>
            </w:tcBorders>
          </w:tcPr>
          <w:p w14:paraId="0153435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清理所辖道路的乱张贴和乱涂画，包括建筑物外墙、门闸、道路路面、道牙石、路沿石、信号灯、树木、花台、花坛、花圃、花箱、廊架、座椅、雕塑等市政公共设施的乱张贴和乱涂画，未能达到的每次（处）扣减0.2分</w:t>
            </w:r>
          </w:p>
        </w:tc>
      </w:tr>
      <w:tr w14:paraId="0246E367">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8FA54E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1D42A8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3、每天对所辖区域必须全面巡查一次以上，发现有乱张贴、乱涂画的在24小时内清理，未能达到的每次（处）扣减0.2分</w:t>
            </w:r>
          </w:p>
        </w:tc>
      </w:tr>
      <w:tr w14:paraId="13484050">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D00D00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AE4932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4、确保乱张贴、乱涂画清理的效果和质量，先用清洁剂清洗，严禁直接用涂料覆盖，清理面应与原色接近，并将现场清理干净，未能达到的每次（处）扣减0.2分</w:t>
            </w:r>
          </w:p>
        </w:tc>
      </w:tr>
      <w:tr w14:paraId="428DFF67">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366072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EA6720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5、不能有其它影响环境卫生、市容市貌的现象存在，未能达到的每次（处）扣减0.4分</w:t>
            </w:r>
          </w:p>
        </w:tc>
      </w:tr>
      <w:tr w14:paraId="1F0B1991">
        <w:tblPrEx>
          <w:tblCellMar>
            <w:top w:w="0" w:type="dxa"/>
            <w:left w:w="108" w:type="dxa"/>
            <w:bottom w:w="0" w:type="dxa"/>
            <w:right w:w="108" w:type="dxa"/>
          </w:tblCellMar>
        </w:tblPrEx>
        <w:trPr>
          <w:trHeight w:val="321" w:hRule="atLeast"/>
          <w:jc w:val="center"/>
        </w:trPr>
        <w:tc>
          <w:tcPr>
            <w:tcW w:w="1272" w:type="dxa"/>
            <w:vMerge w:val="restart"/>
            <w:tcBorders>
              <w:top w:val="single" w:color="auto" w:sz="4" w:space="0"/>
              <w:left w:val="single" w:color="auto" w:sz="4" w:space="0"/>
              <w:bottom w:val="single" w:color="auto" w:sz="4" w:space="0"/>
              <w:right w:val="single" w:color="auto" w:sz="4" w:space="0"/>
            </w:tcBorders>
            <w:vAlign w:val="center"/>
          </w:tcPr>
          <w:p w14:paraId="51C9A6B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（十）</w:t>
            </w:r>
          </w:p>
          <w:p w14:paraId="3853590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安全生产</w:t>
            </w:r>
          </w:p>
        </w:tc>
        <w:tc>
          <w:tcPr>
            <w:tcW w:w="8776" w:type="dxa"/>
            <w:tcBorders>
              <w:top w:val="single" w:color="auto" w:sz="4" w:space="0"/>
              <w:left w:val="nil"/>
              <w:bottom w:val="single" w:color="auto" w:sz="4" w:space="0"/>
              <w:right w:val="single" w:color="auto" w:sz="4" w:space="0"/>
            </w:tcBorders>
          </w:tcPr>
          <w:p w14:paraId="071D1BE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1、建立健全的安全生产责任制，组织制定安全生产规章制度和操作规程，制定各类应急预案，落实责任制，落实有关安全措施，未能达到要求的每次（处）扣减0.4分</w:t>
            </w:r>
          </w:p>
        </w:tc>
      </w:tr>
      <w:tr w14:paraId="2338F87A">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2AFD69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72B9D7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2、组织制定并实施安全生产教育和培训计划，每季度不少于1次进行全员安全生产教育培训，并做好台账、资料存档以便</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进行查阅，未能达到的每次（处）扣减0.4分</w:t>
            </w:r>
          </w:p>
        </w:tc>
      </w:tr>
      <w:tr w14:paraId="27E480FF">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C178F8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CEA1DC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3、办公室、仓库、饭堂、车站场、中转站等场所，必须有安全生产管理制度、禁烟、限速等标识上墙，并设置安全生产标语，未能达到的每次（处）扣减0.4分</w:t>
            </w:r>
          </w:p>
        </w:tc>
      </w:tr>
      <w:tr w14:paraId="24AC289F">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6B4EF6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754341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4、高空作业和围蔽标准必须符合佛山市建设工程文明施工管理规定，未能达到的每次（处）扣减0.4分。</w:t>
            </w:r>
          </w:p>
        </w:tc>
      </w:tr>
      <w:tr w14:paraId="5AB88CB0">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036C02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743C40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5、每天做好安全生产监督巡查工作，定期组织安全生产教育、培训、专项检查等工作并做好台账、资料存档以便</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进行查阅，未能达到的每次（处）扣减0.4分</w:t>
            </w:r>
          </w:p>
        </w:tc>
      </w:tr>
      <w:tr w14:paraId="238849C1">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F54611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7C27F3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6、定期全额购买从业人员的工伤保险及保障员工相关劳保福利，未能达到的每次每人扣减0.4分</w:t>
            </w:r>
          </w:p>
        </w:tc>
      </w:tr>
      <w:tr w14:paraId="0B9C4C75">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0538D8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0B9615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7、作业人员做好岗前培训，并做好资料存档以便</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进行查阅；作业时必须使用专业的设备、工具，按规范作业，未能达到的每次（处）扣减0.4分</w:t>
            </w:r>
          </w:p>
        </w:tc>
      </w:tr>
      <w:tr w14:paraId="0AD30BB7">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BA5EEE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7B72E9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8、作业人员必须按要求统一穿着带反光标识和社区公司标志以及桂城市政LOGO的全套工作服，着装整齐，未能达到的每人次（处）扣减0.4分</w:t>
            </w:r>
          </w:p>
        </w:tc>
      </w:tr>
      <w:tr w14:paraId="3E5FF474">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A4E963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E3C7BF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9、水上作业人员必须熟习水性，作业时要穿着救生衣，船上备有救生器材，落实有关安全措施，未能达到的每人次（处）扣减0.4分</w:t>
            </w:r>
          </w:p>
        </w:tc>
      </w:tr>
      <w:tr w14:paraId="103DB6B6">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473CE7C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26A77A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10、作业人员要文明作业，不能有打骂、伤害他人等不文明行为，出现上述情况要及时上报，未能达到的每次每人扣减1分并按日检扣减条款处理</w:t>
            </w:r>
          </w:p>
        </w:tc>
      </w:tr>
      <w:tr w14:paraId="4D1F0322">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3BEE5A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82480D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11、做好车辆年审、购买保险、行车记录等相关工作，完善车辆档案，未能达到的每次（处）扣减0.4分</w:t>
            </w:r>
          </w:p>
        </w:tc>
      </w:tr>
      <w:tr w14:paraId="72D63CA5">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558430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6F54DC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12、必须密切掌握车辆的性能状况，及时维修，不得擅自改装作业车辆、变更用途，杜绝事故隐患，未能达到的每次（处）扣减0.4分</w:t>
            </w:r>
          </w:p>
        </w:tc>
      </w:tr>
      <w:tr w14:paraId="3D659969">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2572AD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434F24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13、作业人员必须持证上岗，并按作业规范作业，未能达到的每人次（处）扣减0.4分</w:t>
            </w:r>
          </w:p>
        </w:tc>
      </w:tr>
      <w:tr w14:paraId="6F721B31">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2EE083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287C06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14、车辆行驶必须严格遵守交通规则，未能达到的每次（处）扣减0.4分</w:t>
            </w:r>
          </w:p>
        </w:tc>
      </w:tr>
      <w:tr w14:paraId="4DD037FA">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62CA49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6B7138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15、车辆作业过程中，作业人员要按作业规范做好安全措施和引导工作，未能达到的每次（处）扣减0.4分</w:t>
            </w:r>
          </w:p>
        </w:tc>
      </w:tr>
      <w:tr w14:paraId="4B85C100">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DB747C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F9A278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16、站场内车辆行驶时速不得超过15km/h，未能达到的每次（处）扣减0.4分</w:t>
            </w:r>
          </w:p>
        </w:tc>
      </w:tr>
      <w:tr w14:paraId="1D755301">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CA645A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CD5ECC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17、在各类作业期间，必须按各工种的操作特性，落实各类的安全警示标志及防护措施，确保人员及财产的安全，未能达到的每次（处）扣减0.4分</w:t>
            </w:r>
          </w:p>
        </w:tc>
      </w:tr>
      <w:tr w14:paraId="2F90D02B">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D7B9D3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7A4A90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18、作业区内禁止吸烟或存在明火，落实防火措施，配足性能良好的消防器材，要定期进行检查并做好记录，未能达到的每次（处）扣减0.4分</w:t>
            </w:r>
          </w:p>
        </w:tc>
      </w:tr>
      <w:tr w14:paraId="55B45E7C">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AF837E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D5C634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19、落实安全用电、用火措施，要按安全规范使用用电设施设备，不得乱拉、乱挂、乱接电线，不使用非生产性大功率电器，不得超线路负载使用电器，电动车不能在室内充电，未能达到的每次（处）扣减0.4分</w:t>
            </w:r>
          </w:p>
        </w:tc>
      </w:tr>
      <w:tr w14:paraId="6A8E2DD6">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B2DC66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784E0A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20、不得收集易燃、易爆、剧毒、医疗等有危险性的特种垃圾，不得存放易燃、易爆、剧毒等有危险品，未能达到的每次（处）扣减0.4分</w:t>
            </w:r>
          </w:p>
        </w:tc>
      </w:tr>
      <w:tr w14:paraId="6D02FB09">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4C76135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3A1F5A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21、</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须向</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提供应急人员名单，未能达到的每次每人扣减0.4分</w:t>
            </w:r>
          </w:p>
        </w:tc>
      </w:tr>
      <w:tr w14:paraId="15435C42">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4F13C54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06B3D1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22、环卫设施设备主体损坏影响使用或存在安全隐患的，必须立刻上报</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，未能达到的每次（处）扣减0.4分</w:t>
            </w:r>
          </w:p>
        </w:tc>
      </w:tr>
      <w:tr w14:paraId="2B82518B">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B82BFB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vAlign w:val="center"/>
          </w:tcPr>
          <w:p w14:paraId="028668A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23、有害垃圾收运及分拣时必须做好防护措施，确保人员人身安全，未能达到的每次（处）扣减0.4分</w:t>
            </w:r>
          </w:p>
        </w:tc>
      </w:tr>
      <w:tr w14:paraId="2FBBF542">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921D1F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EE9072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24、发生安全生产事故、交通事故、其它意外事故的，要在1小时内如实上报，未能达到的每次（处）扣减2分</w:t>
            </w:r>
          </w:p>
        </w:tc>
      </w:tr>
      <w:tr w14:paraId="729981A4">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393898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C75271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25、发生一般生产事故，造成不良影响的每次（处）扣减5分并按日检扣减条款处理</w:t>
            </w:r>
          </w:p>
        </w:tc>
      </w:tr>
      <w:tr w14:paraId="38DE2C1B">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86F6CB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08E614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26、发生较大或以上生产事故，造成较大负面影响的每次（处）扣减10分并按日检扣减条款处理</w:t>
            </w:r>
          </w:p>
        </w:tc>
      </w:tr>
    </w:tbl>
    <w:p w14:paraId="2B0296B8">
      <w:pPr>
        <w:widowControl/>
        <w:snapToGrid w:val="0"/>
        <w:spacing w:line="360" w:lineRule="auto"/>
        <w:jc w:val="left"/>
        <w:rPr>
          <w:rFonts w:hint="eastAsia" w:ascii="仿宋" w:hAnsi="仿宋" w:eastAsia="仿宋"/>
          <w:color w:val="auto"/>
          <w:sz w:val="24"/>
          <w:highlight w:val="none"/>
        </w:rPr>
      </w:pPr>
    </w:p>
    <w:p w14:paraId="01E39F47">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   第二部分：农村社区园林绿化养护</w:t>
      </w:r>
    </w:p>
    <w:p w14:paraId="599E0938">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（1）服务内容及要求：</w:t>
      </w:r>
    </w:p>
    <w:p w14:paraId="387FDBB9">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一、绿地养护：</w:t>
      </w:r>
    </w:p>
    <w:p w14:paraId="336670EE">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总体质量标准：制定完善的养护技术方案，设有工种齐全和固定的养护队伍，养护到位、得当，达到黄土不露天，绿地总体景观好。</w:t>
      </w:r>
    </w:p>
    <w:p w14:paraId="634755A9">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1.乔木</w:t>
      </w:r>
    </w:p>
    <w:p w14:paraId="229D84D5">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1.1因水分管理不当造成植株出现萎蔫，每株扣0.3分；使用不符合植物生长要求的工业和生活废水等浇灌的，每宗扣1分。</w:t>
      </w:r>
    </w:p>
    <w:p w14:paraId="75F486E1">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1.2施肥次数每年不少于2次，未能达到的，每次（处）扣0.3分。</w:t>
      </w:r>
    </w:p>
    <w:p w14:paraId="41C0549F">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1.3保持树穴土壤透水、透气性，无杂草，新植树木树穴符合规范，树木护树桩无倾斜、残缺、支撑不当，未能达到的，每次（处）扣0.3分。</w:t>
      </w:r>
    </w:p>
    <w:p w14:paraId="1D857BEF">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1.4修剪次数每年不少于2次，造型乔木不少于6次，剪口直径大于6cm的植株剪口须做防腐处理的，未能达到的，每次（处）扣0.3分。</w:t>
      </w:r>
    </w:p>
    <w:p w14:paraId="3A7627C1">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1.5及时控制病虫害，被害植株不超过3%，被害叶片不能超过植株总叶片总量的1%，未能达到的，每次（处）扣0.3分。</w:t>
      </w:r>
    </w:p>
    <w:p w14:paraId="23761C74">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1.6因病虫致死的植物，须进行土壤消毒或更换种植穴土壤方可进行补植，未能达到的，每次（处）扣0.3分。</w:t>
      </w:r>
    </w:p>
    <w:p w14:paraId="45CABE16">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1.7正常情况下长势差，出现明显黄叶、焦叶、卷叶，叶片有明显粉尘、灰尘，有枯枝、折损枝、过密枝未清理的，每株扣0.3分；由于养护不当或措施不力，导致树木倾斜度超过8度，每株扣0.3分。</w:t>
      </w:r>
    </w:p>
    <w:p w14:paraId="0E0DCE69">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1.8萌芽枝、根蘖枝未及时清除的，每株扣0.3分。</w:t>
      </w:r>
    </w:p>
    <w:p w14:paraId="7BA0FA4B">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1.9树木死亡未及时清除与补植的（3天内），每株扣0.3分，对已检查过要求更换或补种（如死亡或断桩、缺株）的树木，仍不按规定时间完成的，双倍扣分。</w:t>
      </w:r>
    </w:p>
    <w:p w14:paraId="341AF818">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1.10树下距树干2米范围内存在堆物堆料、搭棚设摊、圈栏等影响树木养护管理和生长的现象，没有采取相应保护措施的，每株扣0.3分。</w:t>
      </w:r>
    </w:p>
    <w:p w14:paraId="0D8F2EBA">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1.11树木遭受病虫的危害或每年11月份前未及时涂白，每株扣0.3分。</w:t>
      </w:r>
    </w:p>
    <w:p w14:paraId="24099CDE">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1.12树木要未要求进行涂白，树木涂白高度未达到1.2米，每株扣0.3分。</w:t>
      </w:r>
    </w:p>
    <w:p w14:paraId="71200395">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1.13树木有钉挂物、悬挂物（非树身自有的），每株扣0.3分。</w:t>
      </w:r>
    </w:p>
    <w:p w14:paraId="3D71BD87">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1.14擅自对树木重度修剪，影响景观效果的，每株扣0.3分。</w:t>
      </w:r>
    </w:p>
    <w:p w14:paraId="29EAE534">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1.15树木补植规格与原有树木规格不相符，每株扣0.3分。</w:t>
      </w:r>
    </w:p>
    <w:p w14:paraId="78F87448">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1.16植株生长不良，长势差，部分树干死亡，扣0.5分/株。植株重度残损，每株扣0.3分。</w:t>
      </w:r>
    </w:p>
    <w:p w14:paraId="26E6B8DF">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1.17树穴土壤透水、透气性不良，有杂草并影响景观的，新植树木树穴规格不符合规范，每穴扣0.2分；支撑不当、支撑参差不整齐的，每株扣0.2分。</w:t>
      </w:r>
    </w:p>
    <w:p w14:paraId="0BB622FD">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1.18缺乏修剪或修剪不适当,未按《城市绿地养护管理技术规范》DB44/T268-1005）修剪的，每株扣0.5分；枝叶遮挡交通灯或交通指示牌或路灯的，每株扣0.5分。</w:t>
      </w:r>
    </w:p>
    <w:p w14:paraId="66E0D9E9">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1.19树体腐烂或开口部位未及时剔除、消毒、封口处理的，每株扣1.0分。一般树木枝条的剪口直径大于6cm或珍稀树种的剪口大于3cm未作防腐处理的，每株扣0.3分。</w:t>
      </w:r>
    </w:p>
    <w:p w14:paraId="1777B707">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2．灌木与木本地被、竹类、藤本、水生植物、草本花卉、草坪植物</w:t>
      </w:r>
    </w:p>
    <w:p w14:paraId="0757D32C">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  2.1灌木生长旺盛，株型完整、丰满，开花适时，花繁叶茂，花后修剪合理、及时，未能达到的，每次（处）扣0.3分。</w:t>
      </w:r>
    </w:p>
    <w:p w14:paraId="6676708E">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  2.2木本地被植物生长旺盛，覆盖率达到99％以上；无杂草，无死株、缺株。花坛、花带及绿篱轮廓清晰、层次分明，整齐美观，无残缺，无杂草，修剪及时、得当，未能达到的，每次（处）扣0.3分。</w:t>
      </w:r>
    </w:p>
    <w:p w14:paraId="4372751E">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   2.3造型植物修剪及时，得当，线条齐整、圆滑、流畅。规则式种植的造型植物，形状、体量一致；自然式种植的，形状和体量大小符合设计和景观的要求。藤本植物生长旺盛，开花适时，牵引得当、及时，覆盖率不低于90%，未能达到的，每次（处）扣0.3分。</w:t>
      </w:r>
    </w:p>
    <w:p w14:paraId="608CC1A0">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2.4水生植物生长旺盛，开花适时，生长范围符合景观要求，未能达到的，每次（处）扣0.3分。</w:t>
      </w:r>
    </w:p>
    <w:p w14:paraId="0CE36DFE">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2.5水分管理适宜，植株无萎蔫，未能达到的，每次（处）扣0.3分。</w:t>
      </w:r>
    </w:p>
    <w:p w14:paraId="4CE865F4">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2.6使用不符合植物生长要求的工业和生活废水等浇灌的，每宗扣1分。</w:t>
      </w:r>
    </w:p>
    <w:p w14:paraId="251EBCC6">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2.7观花灌木的施肥次数每年少于4次，地被植物、一般灌木少于2次，观花的挺水植物少于1次，未能达到的，每次（处）扣0.3分。</w:t>
      </w:r>
    </w:p>
    <w:p w14:paraId="69D56C26">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2.8施肥方法不正确，长势差，植株叶色差或叶片被灼伤的，每株或每平方米扣0.3分。</w:t>
      </w:r>
    </w:p>
    <w:p w14:paraId="4324F99F">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2.9保持土壤透水、透气性，无杂草的，未能达到的，每次（处）扣0.3分。</w:t>
      </w:r>
    </w:p>
    <w:p w14:paraId="49CD97BB">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2.10植株无折损枝、病虫枝、枯枝叶、攀缠植物、残花，影响景观的，未能达到的，每次（处）扣0.3分。</w:t>
      </w:r>
    </w:p>
    <w:p w14:paraId="2B454157">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2.11木本地被植物覆盖率不低于99%，藤本植物覆盖率不低于90%的，未能达到的，每次（处）扣0.3分。</w:t>
      </w:r>
    </w:p>
    <w:p w14:paraId="381AFBDB">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2.12竹林生长旺盛、生长范围符合景观要求，未能达到的，每次（处）扣0.3分。</w:t>
      </w:r>
    </w:p>
    <w:p w14:paraId="33B303A3">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2.13藤本植物做到合理化牵引，开花适时，未能达到的，每次（处）扣0.3分。</w:t>
      </w:r>
    </w:p>
    <w:p w14:paraId="25F64737">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2.14水生植物生长旺盛、开花适时、生长范围符合景观要求，未能达到的，每次（处）扣0.3分。</w:t>
      </w:r>
    </w:p>
    <w:p w14:paraId="557D2C0D">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2.15植株无病虫害危害，被害植株不超过3%，被害叶片不超过植株总叶片总量的1%，未能达到的，每次（处）扣0.3分。</w:t>
      </w:r>
    </w:p>
    <w:p w14:paraId="22D63DAB">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2.16因病虫致死的植物，须进行土壤消毒或更换种植穴土壤方可进行补植的，未能达到的，每次（处）扣0.3分。</w:t>
      </w:r>
    </w:p>
    <w:p w14:paraId="6DBB282E">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2.17植株老化、死亡、缺株或重度残损及时换种（3天内），未能达到的，每次（处）扣0.3分，对已检查过要求更换或补种（如死亡或断桩、缺株）的苗木，仍不按规定时间完成的，双倍扣分。</w:t>
      </w:r>
    </w:p>
    <w:p w14:paraId="3F082581">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2.18草本花卉生长旺盛，株型匀称、完整美观，开花适时，花繁、色正，开花时覆盖率达到95％以上，无杂草；花后需修剪的，修剪合理、及时，未能达到的，每次（处）扣0.3分。</w:t>
      </w:r>
    </w:p>
    <w:p w14:paraId="34D77D29">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2.19盛花时覆盖率达到95%以上，未能达到的，每次（处）扣0.3分。</w:t>
      </w:r>
    </w:p>
    <w:p w14:paraId="7C38B4C8">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2.20残花、枯萎的黄叶和花蒂（梗）及时清除，未能达到的，每次（处）扣0.3分。</w:t>
      </w:r>
    </w:p>
    <w:p w14:paraId="1D5B028D">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2.21宿根或球根花卉未根据种类特性及生长状况及时进行翻种更新，未能达到的，每次（处）扣0.3分。</w:t>
      </w:r>
    </w:p>
    <w:p w14:paraId="51218EB5">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2.22绿地平整，无积水，未能达到的，每次（处）扣0.3分。</w:t>
      </w:r>
    </w:p>
    <w:p w14:paraId="3C921E06">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2.23随机目视抽检，杂草覆盖率超过1%的，高出地表面的杂草每平方米达10棵以上，或12厘米高的杂草超过1棵每10平方米，每10平方米扣0.3分。</w:t>
      </w:r>
    </w:p>
    <w:p w14:paraId="28CE681D">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2.24杂草过多又无法净化或草坪衰老，须及时更新或重建，未能达到的，每次（处）扣0.3分。</w:t>
      </w:r>
    </w:p>
    <w:p w14:paraId="53B7B0F4">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2.25及时修剪、有效控制草坪高度及修剪留茬高度，未能达到的，每10平方米扣0.3分。</w:t>
      </w:r>
    </w:p>
    <w:p w14:paraId="4DA6E30C">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2.26手工拔草时须将目的草压实，未能达到的，每10平方米扣0.3分。</w:t>
      </w:r>
    </w:p>
    <w:p w14:paraId="71A0473F">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2.27定期对草坪进行打孔作业或垂直切割，未能达到的，每10平方米扣0.3分。</w:t>
      </w:r>
    </w:p>
    <w:p w14:paraId="3A3B5A9F">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2.28对草坪进行切边，保持边界线清晰或不长出边界，未能达到的，每米扣0.3分（不足1米的按1米算）。</w:t>
      </w:r>
    </w:p>
    <w:p w14:paraId="324C4762">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2.29草坪常年绿色期不少于100天，每次修剪后全面复绿时间不超过15天，未能达到的，每次（处）扣2分。</w:t>
      </w:r>
    </w:p>
    <w:p w14:paraId="2B163F93">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2.30补植规格与原有规格不相符，每株扣0.3分。</w:t>
      </w:r>
    </w:p>
    <w:p w14:paraId="518EA7CE">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2.31修剪产生的残留物（碎枝、碎叶）清理不干净，每宗扣0.3分。</w:t>
      </w:r>
    </w:p>
    <w:p w14:paraId="49EE2E1C">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2.32黄土裸露并超出1平方米扣0.3分。</w:t>
      </w:r>
    </w:p>
    <w:p w14:paraId="36569C64">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3.病虫害防治</w:t>
      </w:r>
    </w:p>
    <w:p w14:paraId="338121D5">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3.1.病虫害防治应贯彻“预防为主，综合治理”的原则，未能达到的，每次（处）扣1分。</w:t>
      </w:r>
    </w:p>
    <w:p w14:paraId="34AE4118">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3.2应建立病虫害的预测预报工作机制，制订长期和短期的防治计划，适时开展防治，未能达到的，每次（处）扣1分。  </w:t>
      </w:r>
    </w:p>
    <w:p w14:paraId="2B2EC844">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3.3根据不同季节病害发生的可能性，每月喷施一到两次杀菌剂预防病害的发生，病虫害率小于5%，未能达到的，每次（处）扣1分。</w:t>
      </w:r>
    </w:p>
    <w:p w14:paraId="0697B0EA">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3.4应采取综合治理的对策控制鼠害，及时清理鼠类隐蔽的场所，清除种植容器中可供鼠类食用的食物，减少种植容器对鼠类种群的容纳量，对零星的鼠害，宜采用物理方法进行捕杀，当害鼠种群密度较高时，宜采用对人畜安全的化学杀鼠剂杀灭，未能达到的，每次（处）扣1分。</w:t>
      </w:r>
    </w:p>
    <w:p w14:paraId="0E2C2FF1">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3.5积极落实管辖范围内除四害及防治红火蚁工作，做到无鼠害、无蚊蝇、无蟑螂、无蚁虫等孳生地，未能达到的，每次（处）扣1分。</w:t>
      </w:r>
    </w:p>
    <w:p w14:paraId="421ACC03">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二、清扫与保洁：</w:t>
      </w:r>
    </w:p>
    <w:p w14:paraId="50CBC577">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1.公园及绿地清扫保洁时间为6:00-21:00,7:30前完成首次大扫，未能达到的，每次（处）扣0.5分。其余时间巡回保洁，未能达到的，每次（处）扣0.3分。</w:t>
      </w:r>
    </w:p>
    <w:p w14:paraId="3B18C89A">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 道路的清扫、保洁的质量标准必须符合以下要求，未能达到的，每次（处）扣0.3分：</w:t>
      </w:r>
    </w:p>
    <w:tbl>
      <w:tblPr>
        <w:tblStyle w:val="23"/>
        <w:tblW w:w="4999" w:type="pct"/>
        <w:jc w:val="center"/>
        <w:tblLayout w:type="autofit"/>
        <w:tblCellMar>
          <w:top w:w="0" w:type="dxa"/>
          <w:left w:w="108" w:type="dxa"/>
          <w:bottom w:w="0" w:type="dxa"/>
          <w:right w:w="108" w:type="dxa"/>
        </w:tblCellMar>
      </w:tblPr>
      <w:tblGrid>
        <w:gridCol w:w="1664"/>
        <w:gridCol w:w="1633"/>
        <w:gridCol w:w="1764"/>
        <w:gridCol w:w="1633"/>
        <w:gridCol w:w="1633"/>
        <w:gridCol w:w="1633"/>
      </w:tblGrid>
      <w:tr w14:paraId="72DB19AE">
        <w:tblPrEx>
          <w:tblCellMar>
            <w:top w:w="0" w:type="dxa"/>
            <w:left w:w="108" w:type="dxa"/>
            <w:bottom w:w="0" w:type="dxa"/>
            <w:right w:w="108" w:type="dxa"/>
          </w:tblCellMar>
        </w:tblPrEx>
        <w:trPr>
          <w:jc w:val="center"/>
        </w:trPr>
        <w:tc>
          <w:tcPr>
            <w:tcW w:w="835" w:type="pct"/>
            <w:tcBorders>
              <w:top w:val="single" w:color="auto" w:sz="4" w:space="0"/>
              <w:left w:val="single" w:color="auto" w:sz="4" w:space="0"/>
              <w:bottom w:val="single" w:color="auto" w:sz="4" w:space="0"/>
              <w:right w:val="single" w:color="auto" w:sz="4" w:space="0"/>
            </w:tcBorders>
            <w:vAlign w:val="center"/>
          </w:tcPr>
          <w:p w14:paraId="62A1E1E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果皮(处/500㎡)</w:t>
            </w:r>
          </w:p>
        </w:tc>
        <w:tc>
          <w:tcPr>
            <w:tcW w:w="819" w:type="pct"/>
            <w:tcBorders>
              <w:top w:val="single" w:color="auto" w:sz="4" w:space="0"/>
              <w:left w:val="nil"/>
              <w:bottom w:val="single" w:color="auto" w:sz="4" w:space="0"/>
              <w:right w:val="single" w:color="auto" w:sz="4" w:space="0"/>
            </w:tcBorders>
            <w:vAlign w:val="center"/>
          </w:tcPr>
          <w:p w14:paraId="2A4A226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纸屑、塑膜(处/500㎡)</w:t>
            </w:r>
          </w:p>
        </w:tc>
        <w:tc>
          <w:tcPr>
            <w:tcW w:w="885" w:type="pct"/>
            <w:tcBorders>
              <w:top w:val="single" w:color="auto" w:sz="4" w:space="0"/>
              <w:left w:val="nil"/>
              <w:bottom w:val="single" w:color="auto" w:sz="4" w:space="0"/>
              <w:right w:val="single" w:color="auto" w:sz="4" w:space="0"/>
            </w:tcBorders>
            <w:vAlign w:val="center"/>
          </w:tcPr>
          <w:p w14:paraId="14BF4FC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烟蒂(处/500㎡)</w:t>
            </w:r>
          </w:p>
        </w:tc>
        <w:tc>
          <w:tcPr>
            <w:tcW w:w="819" w:type="pct"/>
            <w:tcBorders>
              <w:top w:val="single" w:color="auto" w:sz="4" w:space="0"/>
              <w:left w:val="nil"/>
              <w:bottom w:val="single" w:color="auto" w:sz="4" w:space="0"/>
              <w:right w:val="single" w:color="auto" w:sz="4" w:space="0"/>
            </w:tcBorders>
            <w:vAlign w:val="center"/>
          </w:tcPr>
          <w:p w14:paraId="0565242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痰迹(处/500㎡)</w:t>
            </w:r>
          </w:p>
        </w:tc>
        <w:tc>
          <w:tcPr>
            <w:tcW w:w="819" w:type="pct"/>
            <w:tcBorders>
              <w:top w:val="single" w:color="auto" w:sz="4" w:space="0"/>
              <w:left w:val="nil"/>
              <w:bottom w:val="single" w:color="auto" w:sz="4" w:space="0"/>
              <w:right w:val="single" w:color="auto" w:sz="4" w:space="0"/>
            </w:tcBorders>
            <w:vAlign w:val="center"/>
          </w:tcPr>
          <w:p w14:paraId="3DD4169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污水(㎡/500㎡)</w:t>
            </w:r>
          </w:p>
        </w:tc>
        <w:tc>
          <w:tcPr>
            <w:tcW w:w="819" w:type="pct"/>
            <w:tcBorders>
              <w:top w:val="single" w:color="auto" w:sz="4" w:space="0"/>
              <w:left w:val="nil"/>
              <w:bottom w:val="single" w:color="auto" w:sz="4" w:space="0"/>
              <w:right w:val="single" w:color="auto" w:sz="4" w:space="0"/>
            </w:tcBorders>
            <w:vAlign w:val="center"/>
          </w:tcPr>
          <w:p w14:paraId="451AA7B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其它(处/500㎡)</w:t>
            </w:r>
          </w:p>
        </w:tc>
      </w:tr>
      <w:tr w14:paraId="3D875650">
        <w:tblPrEx>
          <w:tblCellMar>
            <w:top w:w="0" w:type="dxa"/>
            <w:left w:w="108" w:type="dxa"/>
            <w:bottom w:w="0" w:type="dxa"/>
            <w:right w:w="108" w:type="dxa"/>
          </w:tblCellMar>
        </w:tblPrEx>
        <w:trPr>
          <w:trHeight w:val="304" w:hRule="atLeast"/>
          <w:jc w:val="center"/>
        </w:trPr>
        <w:tc>
          <w:tcPr>
            <w:tcW w:w="835" w:type="pct"/>
            <w:tcBorders>
              <w:top w:val="single" w:color="auto" w:sz="4" w:space="0"/>
              <w:left w:val="single" w:color="auto" w:sz="4" w:space="0"/>
              <w:bottom w:val="single" w:color="auto" w:sz="4" w:space="0"/>
              <w:right w:val="single" w:color="auto" w:sz="4" w:space="0"/>
            </w:tcBorders>
            <w:vAlign w:val="center"/>
          </w:tcPr>
          <w:p w14:paraId="093811A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819" w:type="pct"/>
            <w:tcBorders>
              <w:top w:val="single" w:color="auto" w:sz="4" w:space="0"/>
              <w:left w:val="nil"/>
              <w:bottom w:val="single" w:color="auto" w:sz="4" w:space="0"/>
              <w:right w:val="single" w:color="auto" w:sz="4" w:space="0"/>
            </w:tcBorders>
            <w:vAlign w:val="center"/>
          </w:tcPr>
          <w:p w14:paraId="365FFE8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885" w:type="pct"/>
            <w:tcBorders>
              <w:top w:val="single" w:color="auto" w:sz="4" w:space="0"/>
              <w:left w:val="nil"/>
              <w:bottom w:val="single" w:color="auto" w:sz="4" w:space="0"/>
              <w:right w:val="single" w:color="auto" w:sz="4" w:space="0"/>
            </w:tcBorders>
            <w:vAlign w:val="center"/>
          </w:tcPr>
          <w:p w14:paraId="083FCCB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w:t>
            </w:r>
          </w:p>
        </w:tc>
        <w:tc>
          <w:tcPr>
            <w:tcW w:w="819" w:type="pct"/>
            <w:tcBorders>
              <w:top w:val="single" w:color="auto" w:sz="4" w:space="0"/>
              <w:left w:val="nil"/>
              <w:bottom w:val="single" w:color="auto" w:sz="4" w:space="0"/>
              <w:right w:val="single" w:color="auto" w:sz="4" w:space="0"/>
            </w:tcBorders>
            <w:vAlign w:val="center"/>
          </w:tcPr>
          <w:p w14:paraId="16A804F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w:t>
            </w:r>
          </w:p>
        </w:tc>
        <w:tc>
          <w:tcPr>
            <w:tcW w:w="819" w:type="pct"/>
            <w:tcBorders>
              <w:top w:val="single" w:color="auto" w:sz="4" w:space="0"/>
              <w:left w:val="nil"/>
              <w:bottom w:val="single" w:color="auto" w:sz="4" w:space="0"/>
              <w:right w:val="single" w:color="auto" w:sz="4" w:space="0"/>
            </w:tcBorders>
            <w:vAlign w:val="center"/>
          </w:tcPr>
          <w:p w14:paraId="65AACE5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≤0.5</w:t>
            </w:r>
          </w:p>
        </w:tc>
        <w:tc>
          <w:tcPr>
            <w:tcW w:w="819" w:type="pct"/>
            <w:tcBorders>
              <w:top w:val="single" w:color="auto" w:sz="4" w:space="0"/>
              <w:left w:val="nil"/>
              <w:bottom w:val="single" w:color="auto" w:sz="4" w:space="0"/>
              <w:right w:val="single" w:color="auto" w:sz="4" w:space="0"/>
            </w:tcBorders>
            <w:vAlign w:val="center"/>
          </w:tcPr>
          <w:p w14:paraId="544D2E8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w:t>
            </w:r>
          </w:p>
        </w:tc>
      </w:tr>
    </w:tbl>
    <w:p w14:paraId="7EC52BE0">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3.绿地、园路铺装、园林设施等应保持清洁，干净无积水，无垃圾杂物、无鼠洞和蚊蝇孳生地等，发现鼠洞要随时堵塞，未能达到的，每次（处）扣0.3分。</w:t>
      </w:r>
    </w:p>
    <w:p w14:paraId="7FCF2317">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4.绿地发现有垃圾的，绿地周边有卫生死角，垃圾没有日产日清，每次（处）扣0.3分。</w:t>
      </w:r>
    </w:p>
    <w:p w14:paraId="7AEB03A7">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5.绿地发现有余泥、砖石、瓦碴的，每次（处）扣0.3分。</w:t>
      </w:r>
    </w:p>
    <w:p w14:paraId="2F73A24F">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6. 绿地发现有粪便及动物尸体严重影响环境，每件扣0.3分。</w:t>
      </w:r>
    </w:p>
    <w:p w14:paraId="0B297DE2">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7.绿地用带刺铁线围边的，每宗扣0.3分。</w:t>
      </w:r>
    </w:p>
    <w:p w14:paraId="7EB511B2">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8.花架、亭、廊等园林建筑物应保持外观整洁，及时清除建筑物屋顶积落的枝叶、垃圾和自生的植物，未能达到的，每次（处）扣0.3分。</w:t>
      </w:r>
    </w:p>
    <w:p w14:paraId="6113F693">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9.绿地设施无污垢、无乱涂乱画等城市“牛皮癣”， 未能达到的，每次（处）扣0.3分。</w:t>
      </w:r>
    </w:p>
    <w:p w14:paraId="070768D2">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10.归堆后的垃圾杂物和装载器具摆放在隐蔽的地方，绿化管养产生的废弃物和垃圾做到日产日清，不过夜，未能达到的，每次（处）扣0.3分。</w:t>
      </w:r>
    </w:p>
    <w:p w14:paraId="5C93D651">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11.园林水体应保持清洁，水质良好，水量适度，未能达到的，每次（处）扣0.3分。</w:t>
      </w:r>
    </w:p>
    <w:p w14:paraId="0E381FE2">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12.人工水池的池壁应干净美观，控制好水的深度，及时清除杂物和湖面漂浮物，定时清洗水池，未能达到的，每次（处）扣0.3分。</w:t>
      </w:r>
    </w:p>
    <w:p w14:paraId="03EE1C03">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13.经常清理下水口、排水沟，避免下雨天出现水浸现象，未能达到的，每次（处）扣0.3分。</w:t>
      </w:r>
    </w:p>
    <w:p w14:paraId="5C01AF72">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14.园凳、果皮箱、洗手池等园林设施每天清洗一次，园灯、指示牌、沉沙井、明沟、围栏、井盖等随脏随保洁，未能达到的，每次（处）扣0.3分。</w:t>
      </w:r>
    </w:p>
    <w:p w14:paraId="72B6D3B1">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15.水体有非自然原因导致的下述物质：①凡能沉淀而形成令人厌恶的沉积物，②漂浮物，如碎片、浮渣、油类或其它一些引起感观不快的物质，③产生令人厌恶的色、臭味或浑浊度的物质，④对人类、动物或植物有毒性或不良生理反应的物质，⑤易孳生令人厌恶的水生生物，每次（处）扣0.3分。</w:t>
      </w:r>
    </w:p>
    <w:p w14:paraId="119800F6">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三、管理制度及特别规定：</w:t>
      </w:r>
    </w:p>
    <w:p w14:paraId="19932550">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1.禁止焚烧树枝树叶、垃圾及其他杂物，未能达到的，每次（处）扣1分。</w:t>
      </w:r>
    </w:p>
    <w:p w14:paraId="34019602">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2.禁止搭建棚舍，禁止擅自摆摊设点，未能达到的，每次（处）扣1分。</w:t>
      </w:r>
    </w:p>
    <w:p w14:paraId="142F5D17">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3.禁止随意堆放物料、拉绳挂物，禁止在树上、绿篱上晾晒衣物等物品，未能达到的，每次（处）扣1分。</w:t>
      </w:r>
    </w:p>
    <w:p w14:paraId="146C9470">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4. 沟渠畅通、无垃圾积聚，未能达到的，每次（处）扣1分。</w:t>
      </w:r>
    </w:p>
    <w:p w14:paraId="0A799FB6">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5.绿地应整洁完好，如发现变形、下沉或危及游人时，应局部围闭暂停开放，需以书面形式向</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报告，未及时消除或采取防范措施，每次每处扣1分。</w:t>
      </w:r>
    </w:p>
    <w:p w14:paraId="32E237B1">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6.保持灌溉设施完好，正常使用，无漏水，灌溉设施漏水，未能达到的，每次（处）扣1分。</w:t>
      </w:r>
    </w:p>
    <w:p w14:paraId="14A7FEE7">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7.亭、廊、榭、阁等园林设施，未经批准，不得擅自改变其用途，未能达到的，每次（处）扣1分。</w:t>
      </w:r>
    </w:p>
    <w:p w14:paraId="0739F367">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8.未经</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批准，不得经营商业性质的广告，未能达到的，每次（处）扣1分。</w:t>
      </w:r>
    </w:p>
    <w:p w14:paraId="34959EA6">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9.办公场所要干净整洁，仓库内的生产资料、农药、化肥、应急物资等存放有序，做到有标记。员工的单车摩托车按指定地点存放，增接电器设施符合安全用电要求，要保持环境的清洁卫生，未能达到的，每次（处）扣1分。</w:t>
      </w:r>
    </w:p>
    <w:p w14:paraId="0BEFD2C2">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10.劳动工具必须整洁，并做到定点摆放，未能达到的，每次（处）扣1分。</w:t>
      </w:r>
    </w:p>
    <w:p w14:paraId="66B3ED29">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11.做好绿地消杀除四害工作，毎月不少于两次，并做好记录，未能达到的，每次（处）扣1分。</w:t>
      </w:r>
    </w:p>
    <w:p w14:paraId="25BDA919">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12.施肥、喷洒农药、乔木修剪等大范围作业必须预早报</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和第三方质量监督单位审核后方可实施。</w:t>
      </w:r>
    </w:p>
    <w:p w14:paraId="313B8466">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13.项目实施期间须如实提供管理资料及工作记录，报送各作业片区养护计划、管理制度、应急预案、质检记录、巡查日志、工作总结、人员机械情况表等资料，所报资料不得弄虚作假。</w:t>
      </w:r>
    </w:p>
    <w:p w14:paraId="6230197B">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14.项目实施期间必须当月10日前制定并上报次月各类专项养护管理工作计划，针对</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提出的要求及自身存在的问题制定具体工作方案、目标及措施，且要求做到实事求是、目标明确、措施得力、效果明显。同时要求每季度对工作书面总结一次，工作计划及总结必须报</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和第三方质量监督单位备案。</w:t>
      </w:r>
    </w:p>
    <w:p w14:paraId="0B79DBCF">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15.机械使用过程中未对施工现场进行围合和标示的，每次扣0.5分；公园内施工没有对工地进行合适的围敝和设置警示的，每例或每宗扣0.5分。</w:t>
      </w:r>
    </w:p>
    <w:p w14:paraId="5BDFC5D1">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16.截除较大的树枝、或砍伐清除枯死的树体或大树移植时，未采取必要的安全措施、未按照操作程序作业的，每项扣2.0分。</w:t>
      </w:r>
    </w:p>
    <w:p w14:paraId="7E769987">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17.台风及寒潮来临前未做好对应防御措施的扣0.5分；因此而造成损失的扣2.0分。</w:t>
      </w:r>
    </w:p>
    <w:p w14:paraId="65B48858">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18.风暴过后清理阻碍交通或影响观瞻的树体或枝叶，对倒伏、受损的，未及时扶正、支撑，扣0.5分/株。</w:t>
      </w:r>
    </w:p>
    <w:p w14:paraId="0F40B954">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19. 在绿地、树木保护范围内堆放物料、损坏表土层和改变地表高层；倾倒排放有毒有害物质、倾倒垃圾和焚烧物料；栽植缠绕古树名木的藤本植物的；在公园绿地、树木保护范围内有吊挂、缠绕杂物或晾晒的，在树上刻划，钉铁钉，以树承重或就树搭建的，每株或每平方米或每处扣1.0分，古树名木每株每项扣2.0分。</w:t>
      </w:r>
    </w:p>
    <w:p w14:paraId="2E735AC1">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20. 古树名木要按照相关规定和要求进行管养，未能达到的每株扣2.0分。</w:t>
      </w:r>
    </w:p>
    <w:p w14:paraId="5538BCAD">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21. 其他不符合国家、省、市有关园林绿化管理规定或养护规范的情况，每项或每宗或每处扣1.0分。</w:t>
      </w:r>
    </w:p>
    <w:p w14:paraId="119F20B3">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7A7B00B0">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第三部分：农村社区排水井盖管理与维护</w:t>
      </w:r>
    </w:p>
    <w:p w14:paraId="4A5957CD">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1、负责对农村区域的排水检查井和收水井等的井盖及格栅设施进行日常的检查维护工作。</w:t>
      </w:r>
    </w:p>
    <w:p w14:paraId="517B2C38">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2、每天安排人员对各村道路上的井盖进行日常巡查工作，如发现井盖丢失、破损等排水问题，必须在1小时内派人员到达现场进行处理完善，并做好记录。</w:t>
      </w:r>
    </w:p>
    <w:p w14:paraId="6EBE6783">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3、社区对农村区域的各类井盖设施进行维护中，要求所更换的井盖，原则上与原有的材质一致，需要更改材质的，需经农村社区同意，井盖质量要符合国家相关标准。如损坏、缺失井盖的属非标准规格的，可用15mm厚的钢板代替。</w:t>
      </w:r>
    </w:p>
    <w:p w14:paraId="293896E6">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4、要求落实好井盖、格栅疏水孔的疏通工作，保证排水功能正常。</w:t>
      </w:r>
    </w:p>
    <w:p w14:paraId="7A202A82">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5、针对投诉反映或巡查发现的存在问题，处理时间不得超过1小时，并在48小时内处理完成并做好记录回复。</w:t>
      </w:r>
    </w:p>
    <w:p w14:paraId="5A1D52E2">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6、各类调查、验收表格必须如实填写，并积极配合</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做好日常管理资料的搜集积累工作。</w:t>
      </w:r>
    </w:p>
    <w:p w14:paraId="419B7AE6">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3、农村社区排水井盖管理与维护</w:t>
      </w:r>
    </w:p>
    <w:p w14:paraId="55B9CDE9">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（1）、服务内容及要求：</w:t>
      </w:r>
    </w:p>
    <w:p w14:paraId="4461D44F">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1)一小时内处理缺失检查井盖及收水格栅。</w:t>
      </w:r>
    </w:p>
    <w:p w14:paraId="58AD4A09">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2)48小时内恢复缺失井盖、格栅原状。</w:t>
      </w:r>
    </w:p>
    <w:p w14:paraId="7F52905C">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3)未经同意，不得更换井盖、格栅不符合原有材质或同等质量的材质与尺寸。</w:t>
      </w:r>
    </w:p>
    <w:p w14:paraId="6C2A2233">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4)更换井盖过程中须落实安全防护措施。</w:t>
      </w:r>
    </w:p>
    <w:p w14:paraId="41C90743">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5)详细如实填写各类作业记录。</w:t>
      </w:r>
    </w:p>
    <w:p w14:paraId="45209BAC">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（2）月检质量验收标准：</w:t>
      </w:r>
    </w:p>
    <w:p w14:paraId="09566317">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1)一小时内未作处理缺失检查井盖及收水格栅，每次扣0.1分。</w:t>
      </w:r>
    </w:p>
    <w:p w14:paraId="3C858C3F">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2)48小时内未恢复缺失井盖、格栅原状，每次扣0.1分。</w:t>
      </w:r>
    </w:p>
    <w:p w14:paraId="75A9E22C">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3)未经同意，更换井盖、格栅不符合原有材质或同等质量的材质与尺寸，每次扣0.1分。</w:t>
      </w:r>
    </w:p>
    <w:p w14:paraId="75D7467E">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4)更换井盖过程中未落实安全防护措施的，每次扣0.2分。</w:t>
      </w:r>
    </w:p>
    <w:p w14:paraId="0CE10D44">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5)不详细如实填写各类作业记录，每次扣0.2分。</w:t>
      </w:r>
    </w:p>
    <w:p w14:paraId="3BF14226">
      <w:pPr>
        <w:widowControl/>
        <w:snapToGrid w:val="0"/>
        <w:spacing w:line="360" w:lineRule="auto"/>
        <w:jc w:val="left"/>
        <w:rPr>
          <w:rFonts w:hint="eastAsia" w:ascii="仿宋" w:hAnsi="仿宋" w:eastAsia="仿宋"/>
          <w:color w:val="auto"/>
          <w:sz w:val="24"/>
          <w:highlight w:val="none"/>
        </w:rPr>
      </w:pPr>
    </w:p>
    <w:p w14:paraId="64ED8B81">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第四部分：农村社区公共照明设施管理与维护</w:t>
      </w:r>
    </w:p>
    <w:p w14:paraId="2907A85F">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负责农村区域的公共照明系统的灯具、光源电器部分、控制箱、电缆井盖、光源部分与供电主线（街线）间的导线等的管理与现状维护，及时更换损坏的灯泡、镇流器、灯头灯座、灯具、导线、绝缘子、触发器、线井井盖及控制箱配件等，并负责因被盗及各种原因造成损坏的修复，修复工作要在24小时内完成。</w:t>
      </w:r>
    </w:p>
    <w:p w14:paraId="0727E98E">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2、组织路灯管理专业人员落实日常的巡查与检修、亮灯率要求达97%以上。</w:t>
      </w:r>
    </w:p>
    <w:p w14:paraId="10FEBA01">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3、在修复更换照明系统设施或电器元件时，要求相关技术指标不低于原有设施或电器元件的技术标准，对外观有要求的部分，新换的设施或电器元件要求与原有设施或电器元件外观相同或相仿并达国标安全标准。</w:t>
      </w:r>
    </w:p>
    <w:p w14:paraId="72566274">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4、自觉接受</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和农村社区的管理，对一些特殊任务应积极配合，主动完成。</w:t>
      </w:r>
    </w:p>
    <w:p w14:paraId="51308243">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5、必须配备实施本项目的专业技术人员和专用器材，安排不少于8名具有执业资格的电气专业人员。</w:t>
      </w:r>
    </w:p>
    <w:p w14:paraId="4A2B52BB">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6、应做好日常维护、保养记录的统计汇总，并有责任按</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的要求，完善日常的管理资料，并定期报送</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w:t>
      </w:r>
    </w:p>
    <w:p w14:paraId="52B637FF">
      <w:pPr>
        <w:widowControl/>
        <w:snapToGrid w:val="0"/>
        <w:spacing w:line="360" w:lineRule="auto"/>
        <w:jc w:val="left"/>
        <w:rPr>
          <w:rFonts w:hint="eastAsia" w:ascii="仿宋" w:hAnsi="仿宋" w:eastAsia="仿宋"/>
          <w:color w:val="auto"/>
          <w:sz w:val="24"/>
          <w:highlight w:val="none"/>
        </w:rPr>
      </w:pPr>
    </w:p>
    <w:p w14:paraId="188201CC">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 4、农村社区公共照明设施管理与维护</w:t>
      </w:r>
    </w:p>
    <w:p w14:paraId="7387BFCD">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（1）服务内容及要求：</w:t>
      </w:r>
    </w:p>
    <w:tbl>
      <w:tblPr>
        <w:tblStyle w:val="23"/>
        <w:tblW w:w="4999" w:type="pct"/>
        <w:jc w:val="center"/>
        <w:tblLayout w:type="autofit"/>
        <w:tblCellMar>
          <w:top w:w="0" w:type="dxa"/>
          <w:left w:w="108" w:type="dxa"/>
          <w:bottom w:w="0" w:type="dxa"/>
          <w:right w:w="108" w:type="dxa"/>
        </w:tblCellMar>
      </w:tblPr>
      <w:tblGrid>
        <w:gridCol w:w="1124"/>
        <w:gridCol w:w="2039"/>
        <w:gridCol w:w="6797"/>
      </w:tblGrid>
      <w:tr w14:paraId="3B085E78">
        <w:tblPrEx>
          <w:tblCellMar>
            <w:top w:w="0" w:type="dxa"/>
            <w:left w:w="108" w:type="dxa"/>
            <w:bottom w:w="0" w:type="dxa"/>
            <w:right w:w="108" w:type="dxa"/>
          </w:tblCellMar>
        </w:tblPrEx>
        <w:trPr>
          <w:trHeight w:val="416" w:hRule="atLeast"/>
          <w:jc w:val="center"/>
        </w:trPr>
        <w:tc>
          <w:tcPr>
            <w:tcW w:w="564" w:type="pct"/>
            <w:tcBorders>
              <w:top w:val="single" w:color="auto" w:sz="4" w:space="0"/>
              <w:left w:val="single" w:color="auto" w:sz="4" w:space="0"/>
              <w:bottom w:val="single" w:color="auto" w:sz="4" w:space="0"/>
              <w:right w:val="single" w:color="auto" w:sz="4" w:space="0"/>
            </w:tcBorders>
            <w:vAlign w:val="center"/>
          </w:tcPr>
          <w:p w14:paraId="3682438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序号</w:t>
            </w:r>
          </w:p>
        </w:tc>
        <w:tc>
          <w:tcPr>
            <w:tcW w:w="1023" w:type="pct"/>
            <w:tcBorders>
              <w:top w:val="single" w:color="auto" w:sz="4" w:space="0"/>
              <w:left w:val="nil"/>
              <w:bottom w:val="single" w:color="auto" w:sz="4" w:space="0"/>
              <w:right w:val="single" w:color="auto" w:sz="4" w:space="0"/>
            </w:tcBorders>
            <w:vAlign w:val="center"/>
          </w:tcPr>
          <w:p w14:paraId="557FFDA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项目</w:t>
            </w:r>
          </w:p>
        </w:tc>
        <w:tc>
          <w:tcPr>
            <w:tcW w:w="3411" w:type="pct"/>
            <w:tcBorders>
              <w:top w:val="single" w:color="auto" w:sz="4" w:space="0"/>
              <w:left w:val="nil"/>
              <w:bottom w:val="single" w:color="auto" w:sz="4" w:space="0"/>
              <w:right w:val="single" w:color="auto" w:sz="4" w:space="0"/>
            </w:tcBorders>
            <w:vAlign w:val="center"/>
          </w:tcPr>
          <w:p w14:paraId="543A693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检 查 内 容</w:t>
            </w:r>
          </w:p>
        </w:tc>
      </w:tr>
      <w:tr w14:paraId="4CDDD49D">
        <w:tblPrEx>
          <w:tblCellMar>
            <w:top w:w="0" w:type="dxa"/>
            <w:left w:w="108" w:type="dxa"/>
            <w:bottom w:w="0" w:type="dxa"/>
            <w:right w:w="108" w:type="dxa"/>
          </w:tblCellMar>
        </w:tblPrEx>
        <w:trPr>
          <w:trHeight w:val="402" w:hRule="atLeast"/>
          <w:jc w:val="center"/>
        </w:trPr>
        <w:tc>
          <w:tcPr>
            <w:tcW w:w="564" w:type="pct"/>
            <w:tcBorders>
              <w:top w:val="single" w:color="auto" w:sz="4" w:space="0"/>
              <w:left w:val="single" w:color="auto" w:sz="4" w:space="0"/>
              <w:bottom w:val="single" w:color="auto" w:sz="4" w:space="0"/>
              <w:right w:val="single" w:color="auto" w:sz="4" w:space="0"/>
            </w:tcBorders>
            <w:vAlign w:val="center"/>
          </w:tcPr>
          <w:p w14:paraId="14FB509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w:t>
            </w:r>
          </w:p>
        </w:tc>
        <w:tc>
          <w:tcPr>
            <w:tcW w:w="1023" w:type="pct"/>
            <w:tcBorders>
              <w:top w:val="single" w:color="auto" w:sz="4" w:space="0"/>
              <w:left w:val="nil"/>
              <w:bottom w:val="single" w:color="auto" w:sz="4" w:space="0"/>
              <w:right w:val="single" w:color="auto" w:sz="4" w:space="0"/>
            </w:tcBorders>
            <w:vAlign w:val="center"/>
          </w:tcPr>
          <w:p w14:paraId="587B783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亮灯率</w:t>
            </w:r>
          </w:p>
        </w:tc>
        <w:tc>
          <w:tcPr>
            <w:tcW w:w="3411" w:type="pct"/>
            <w:tcBorders>
              <w:top w:val="single" w:color="auto" w:sz="4" w:space="0"/>
              <w:left w:val="nil"/>
              <w:bottom w:val="single" w:color="auto" w:sz="4" w:space="0"/>
              <w:right w:val="single" w:color="auto" w:sz="4" w:space="0"/>
            </w:tcBorders>
            <w:vAlign w:val="center"/>
          </w:tcPr>
          <w:p w14:paraId="148A68D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亮灯率97%为合格。</w:t>
            </w:r>
          </w:p>
        </w:tc>
      </w:tr>
      <w:tr w14:paraId="66F1E107">
        <w:tblPrEx>
          <w:tblCellMar>
            <w:top w:w="0" w:type="dxa"/>
            <w:left w:w="108" w:type="dxa"/>
            <w:bottom w:w="0" w:type="dxa"/>
            <w:right w:w="108" w:type="dxa"/>
          </w:tblCellMar>
        </w:tblPrEx>
        <w:trPr>
          <w:trHeight w:val="898" w:hRule="atLeast"/>
          <w:jc w:val="center"/>
        </w:trPr>
        <w:tc>
          <w:tcPr>
            <w:tcW w:w="564" w:type="pct"/>
            <w:tcBorders>
              <w:top w:val="single" w:color="auto" w:sz="4" w:space="0"/>
              <w:left w:val="single" w:color="auto" w:sz="4" w:space="0"/>
              <w:bottom w:val="single" w:color="auto" w:sz="4" w:space="0"/>
              <w:right w:val="single" w:color="auto" w:sz="4" w:space="0"/>
            </w:tcBorders>
            <w:vAlign w:val="center"/>
          </w:tcPr>
          <w:p w14:paraId="0F8EFD2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w:t>
            </w:r>
          </w:p>
        </w:tc>
        <w:tc>
          <w:tcPr>
            <w:tcW w:w="1023" w:type="pct"/>
            <w:tcBorders>
              <w:top w:val="single" w:color="auto" w:sz="4" w:space="0"/>
              <w:left w:val="nil"/>
              <w:bottom w:val="single" w:color="auto" w:sz="4" w:space="0"/>
              <w:right w:val="single" w:color="auto" w:sz="4" w:space="0"/>
            </w:tcBorders>
            <w:vAlign w:val="center"/>
          </w:tcPr>
          <w:p w14:paraId="546C231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设施完好率</w:t>
            </w:r>
          </w:p>
        </w:tc>
        <w:tc>
          <w:tcPr>
            <w:tcW w:w="3411" w:type="pct"/>
            <w:tcBorders>
              <w:top w:val="single" w:color="auto" w:sz="4" w:space="0"/>
              <w:left w:val="nil"/>
              <w:bottom w:val="single" w:color="auto" w:sz="4" w:space="0"/>
              <w:right w:val="single" w:color="auto" w:sz="4" w:space="0"/>
            </w:tcBorders>
            <w:vAlign w:val="center"/>
          </w:tcPr>
          <w:p w14:paraId="07FF4C6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灯具、灯罩、多头灯饰；电缆井盖、控制箱。树木不遮挡路灯灯光等。</w:t>
            </w:r>
          </w:p>
        </w:tc>
      </w:tr>
      <w:tr w14:paraId="05514258">
        <w:tblPrEx>
          <w:tblCellMar>
            <w:top w:w="0" w:type="dxa"/>
            <w:left w:w="108" w:type="dxa"/>
            <w:bottom w:w="0" w:type="dxa"/>
            <w:right w:w="108" w:type="dxa"/>
          </w:tblCellMar>
        </w:tblPrEx>
        <w:trPr>
          <w:trHeight w:val="721" w:hRule="atLeast"/>
          <w:jc w:val="center"/>
        </w:trPr>
        <w:tc>
          <w:tcPr>
            <w:tcW w:w="564" w:type="pct"/>
            <w:tcBorders>
              <w:top w:val="single" w:color="auto" w:sz="4" w:space="0"/>
              <w:left w:val="single" w:color="auto" w:sz="4" w:space="0"/>
              <w:bottom w:val="single" w:color="auto" w:sz="4" w:space="0"/>
              <w:right w:val="single" w:color="auto" w:sz="4" w:space="0"/>
            </w:tcBorders>
            <w:vAlign w:val="center"/>
          </w:tcPr>
          <w:p w14:paraId="1C21D8A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w:t>
            </w:r>
          </w:p>
        </w:tc>
        <w:tc>
          <w:tcPr>
            <w:tcW w:w="1023" w:type="pct"/>
            <w:tcBorders>
              <w:top w:val="single" w:color="auto" w:sz="4" w:space="0"/>
              <w:left w:val="nil"/>
              <w:bottom w:val="single" w:color="auto" w:sz="4" w:space="0"/>
              <w:right w:val="single" w:color="auto" w:sz="4" w:space="0"/>
            </w:tcBorders>
            <w:vAlign w:val="center"/>
          </w:tcPr>
          <w:p w14:paraId="19C83CE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材料合格率</w:t>
            </w:r>
          </w:p>
        </w:tc>
        <w:tc>
          <w:tcPr>
            <w:tcW w:w="3411" w:type="pct"/>
            <w:tcBorders>
              <w:top w:val="single" w:color="auto" w:sz="4" w:space="0"/>
              <w:left w:val="nil"/>
              <w:bottom w:val="single" w:color="auto" w:sz="4" w:space="0"/>
              <w:right w:val="single" w:color="auto" w:sz="4" w:space="0"/>
            </w:tcBorders>
            <w:vAlign w:val="center"/>
          </w:tcPr>
          <w:p w14:paraId="14A1A36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维修材料要求技术指标不低于原有材料、配件的技术标准，并达国标安全标准，外观相同或相仿。</w:t>
            </w:r>
          </w:p>
        </w:tc>
      </w:tr>
      <w:tr w14:paraId="77843251">
        <w:tblPrEx>
          <w:tblCellMar>
            <w:top w:w="0" w:type="dxa"/>
            <w:left w:w="108" w:type="dxa"/>
            <w:bottom w:w="0" w:type="dxa"/>
            <w:right w:w="108" w:type="dxa"/>
          </w:tblCellMar>
        </w:tblPrEx>
        <w:trPr>
          <w:trHeight w:val="740" w:hRule="atLeast"/>
          <w:jc w:val="center"/>
        </w:trPr>
        <w:tc>
          <w:tcPr>
            <w:tcW w:w="564" w:type="pct"/>
            <w:tcBorders>
              <w:top w:val="single" w:color="auto" w:sz="4" w:space="0"/>
              <w:left w:val="single" w:color="auto" w:sz="4" w:space="0"/>
              <w:bottom w:val="single" w:color="auto" w:sz="4" w:space="0"/>
              <w:right w:val="single" w:color="auto" w:sz="4" w:space="0"/>
            </w:tcBorders>
            <w:vAlign w:val="center"/>
          </w:tcPr>
          <w:p w14:paraId="7A590C1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w:t>
            </w:r>
          </w:p>
        </w:tc>
        <w:tc>
          <w:tcPr>
            <w:tcW w:w="1023" w:type="pct"/>
            <w:tcBorders>
              <w:top w:val="single" w:color="auto" w:sz="4" w:space="0"/>
              <w:left w:val="nil"/>
              <w:bottom w:val="single" w:color="auto" w:sz="4" w:space="0"/>
              <w:right w:val="single" w:color="auto" w:sz="4" w:space="0"/>
            </w:tcBorders>
            <w:vAlign w:val="center"/>
          </w:tcPr>
          <w:p w14:paraId="2AE1DEA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亮灭灯准确</w:t>
            </w:r>
          </w:p>
        </w:tc>
        <w:tc>
          <w:tcPr>
            <w:tcW w:w="3411" w:type="pct"/>
            <w:tcBorders>
              <w:top w:val="single" w:color="auto" w:sz="4" w:space="0"/>
              <w:left w:val="nil"/>
              <w:bottom w:val="single" w:color="auto" w:sz="4" w:space="0"/>
              <w:right w:val="single" w:color="auto" w:sz="4" w:space="0"/>
            </w:tcBorders>
            <w:vAlign w:val="center"/>
          </w:tcPr>
          <w:p w14:paraId="3A787D2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晚上无序熄灯；</w:t>
            </w:r>
          </w:p>
          <w:p w14:paraId="6E276F4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白天无序亮灯。</w:t>
            </w:r>
          </w:p>
        </w:tc>
      </w:tr>
      <w:tr w14:paraId="3C094C0D">
        <w:tblPrEx>
          <w:tblCellMar>
            <w:top w:w="0" w:type="dxa"/>
            <w:left w:w="108" w:type="dxa"/>
            <w:bottom w:w="0" w:type="dxa"/>
            <w:right w:w="108" w:type="dxa"/>
          </w:tblCellMar>
        </w:tblPrEx>
        <w:trPr>
          <w:trHeight w:val="646" w:hRule="atLeast"/>
          <w:jc w:val="center"/>
        </w:trPr>
        <w:tc>
          <w:tcPr>
            <w:tcW w:w="564" w:type="pct"/>
            <w:tcBorders>
              <w:top w:val="single" w:color="auto" w:sz="4" w:space="0"/>
              <w:left w:val="single" w:color="auto" w:sz="4" w:space="0"/>
              <w:bottom w:val="single" w:color="auto" w:sz="4" w:space="0"/>
              <w:right w:val="single" w:color="auto" w:sz="4" w:space="0"/>
            </w:tcBorders>
            <w:vAlign w:val="center"/>
          </w:tcPr>
          <w:p w14:paraId="776A351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1023" w:type="pct"/>
            <w:tcBorders>
              <w:top w:val="single" w:color="auto" w:sz="4" w:space="0"/>
              <w:left w:val="nil"/>
              <w:bottom w:val="single" w:color="auto" w:sz="4" w:space="0"/>
              <w:right w:val="single" w:color="auto" w:sz="4" w:space="0"/>
            </w:tcBorders>
            <w:vAlign w:val="center"/>
          </w:tcPr>
          <w:p w14:paraId="72BB9DA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安全操作合格率</w:t>
            </w:r>
          </w:p>
        </w:tc>
        <w:tc>
          <w:tcPr>
            <w:tcW w:w="3411" w:type="pct"/>
            <w:tcBorders>
              <w:top w:val="single" w:color="auto" w:sz="4" w:space="0"/>
              <w:left w:val="nil"/>
              <w:bottom w:val="single" w:color="auto" w:sz="4" w:space="0"/>
              <w:right w:val="single" w:color="auto" w:sz="4" w:space="0"/>
            </w:tcBorders>
            <w:vAlign w:val="center"/>
          </w:tcPr>
          <w:p w14:paraId="3DB6C5F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安全制度、安全学习、安全规定操作、控制箱必须上锁、作业时必须两人同时持证上岗作业。</w:t>
            </w:r>
          </w:p>
        </w:tc>
      </w:tr>
    </w:tbl>
    <w:p w14:paraId="6FFF531F">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5BF4BECC">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（2）月检质量验收标准</w:t>
      </w:r>
    </w:p>
    <w:tbl>
      <w:tblPr>
        <w:tblStyle w:val="23"/>
        <w:tblW w:w="4999" w:type="pct"/>
        <w:jc w:val="center"/>
        <w:tblLayout w:type="autofit"/>
        <w:tblCellMar>
          <w:top w:w="0" w:type="dxa"/>
          <w:left w:w="108" w:type="dxa"/>
          <w:bottom w:w="0" w:type="dxa"/>
          <w:right w:w="108" w:type="dxa"/>
        </w:tblCellMar>
      </w:tblPr>
      <w:tblGrid>
        <w:gridCol w:w="1124"/>
        <w:gridCol w:w="2008"/>
        <w:gridCol w:w="6828"/>
      </w:tblGrid>
      <w:tr w14:paraId="17C0C78D">
        <w:tblPrEx>
          <w:tblCellMar>
            <w:top w:w="0" w:type="dxa"/>
            <w:left w:w="108" w:type="dxa"/>
            <w:bottom w:w="0" w:type="dxa"/>
            <w:right w:w="108" w:type="dxa"/>
          </w:tblCellMar>
        </w:tblPrEx>
        <w:trPr>
          <w:trHeight w:val="293" w:hRule="atLeast"/>
          <w:jc w:val="center"/>
        </w:trPr>
        <w:tc>
          <w:tcPr>
            <w:tcW w:w="564" w:type="pct"/>
            <w:tcBorders>
              <w:top w:val="single" w:color="auto" w:sz="4" w:space="0"/>
              <w:left w:val="single" w:color="auto" w:sz="4" w:space="0"/>
              <w:bottom w:val="single" w:color="auto" w:sz="4" w:space="0"/>
              <w:right w:val="single" w:color="auto" w:sz="4" w:space="0"/>
            </w:tcBorders>
            <w:vAlign w:val="center"/>
          </w:tcPr>
          <w:p w14:paraId="6A03693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序号</w:t>
            </w:r>
          </w:p>
        </w:tc>
        <w:tc>
          <w:tcPr>
            <w:tcW w:w="1008" w:type="pct"/>
            <w:tcBorders>
              <w:top w:val="single" w:color="auto" w:sz="4" w:space="0"/>
              <w:left w:val="nil"/>
              <w:bottom w:val="single" w:color="auto" w:sz="4" w:space="0"/>
              <w:right w:val="single" w:color="auto" w:sz="4" w:space="0"/>
            </w:tcBorders>
            <w:vAlign w:val="center"/>
          </w:tcPr>
          <w:p w14:paraId="2869D03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项目</w:t>
            </w:r>
          </w:p>
        </w:tc>
        <w:tc>
          <w:tcPr>
            <w:tcW w:w="3427" w:type="pct"/>
            <w:tcBorders>
              <w:top w:val="single" w:color="auto" w:sz="4" w:space="0"/>
              <w:left w:val="nil"/>
              <w:bottom w:val="single" w:color="auto" w:sz="4" w:space="0"/>
              <w:right w:val="single" w:color="auto" w:sz="4" w:space="0"/>
            </w:tcBorders>
            <w:vAlign w:val="center"/>
          </w:tcPr>
          <w:p w14:paraId="3F86C17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检 查 内 容、扣 分 标 准</w:t>
            </w:r>
          </w:p>
        </w:tc>
      </w:tr>
      <w:tr w14:paraId="14405785">
        <w:tblPrEx>
          <w:tblCellMar>
            <w:top w:w="0" w:type="dxa"/>
            <w:left w:w="108" w:type="dxa"/>
            <w:bottom w:w="0" w:type="dxa"/>
            <w:right w:w="108" w:type="dxa"/>
          </w:tblCellMar>
        </w:tblPrEx>
        <w:trPr>
          <w:trHeight w:val="449" w:hRule="atLeast"/>
          <w:jc w:val="center"/>
        </w:trPr>
        <w:tc>
          <w:tcPr>
            <w:tcW w:w="564" w:type="pct"/>
            <w:tcBorders>
              <w:top w:val="single" w:color="auto" w:sz="4" w:space="0"/>
              <w:left w:val="single" w:color="auto" w:sz="4" w:space="0"/>
              <w:bottom w:val="single" w:color="auto" w:sz="4" w:space="0"/>
              <w:right w:val="single" w:color="auto" w:sz="4" w:space="0"/>
            </w:tcBorders>
            <w:vAlign w:val="center"/>
          </w:tcPr>
          <w:p w14:paraId="452E343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w:t>
            </w:r>
          </w:p>
        </w:tc>
        <w:tc>
          <w:tcPr>
            <w:tcW w:w="1008" w:type="pct"/>
            <w:tcBorders>
              <w:top w:val="single" w:color="auto" w:sz="4" w:space="0"/>
              <w:left w:val="nil"/>
              <w:bottom w:val="single" w:color="auto" w:sz="4" w:space="0"/>
              <w:right w:val="single" w:color="auto" w:sz="4" w:space="0"/>
            </w:tcBorders>
            <w:vAlign w:val="center"/>
          </w:tcPr>
          <w:p w14:paraId="311AA60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亮灯率</w:t>
            </w:r>
          </w:p>
        </w:tc>
        <w:tc>
          <w:tcPr>
            <w:tcW w:w="3427" w:type="pct"/>
            <w:tcBorders>
              <w:top w:val="single" w:color="auto" w:sz="4" w:space="0"/>
              <w:left w:val="nil"/>
              <w:bottom w:val="single" w:color="auto" w:sz="4" w:space="0"/>
              <w:right w:val="single" w:color="auto" w:sz="4" w:space="0"/>
            </w:tcBorders>
            <w:vAlign w:val="center"/>
          </w:tcPr>
          <w:p w14:paraId="31F0625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亮灯率合格97%，97%--90%不合格扣1分,90%以下不合格扣3分。检查亮灯盏数。</w:t>
            </w:r>
          </w:p>
        </w:tc>
      </w:tr>
      <w:tr w14:paraId="516916BC">
        <w:tblPrEx>
          <w:tblCellMar>
            <w:top w:w="0" w:type="dxa"/>
            <w:left w:w="108" w:type="dxa"/>
            <w:bottom w:w="0" w:type="dxa"/>
            <w:right w:w="108" w:type="dxa"/>
          </w:tblCellMar>
        </w:tblPrEx>
        <w:trPr>
          <w:trHeight w:val="1556" w:hRule="atLeast"/>
          <w:jc w:val="center"/>
        </w:trPr>
        <w:tc>
          <w:tcPr>
            <w:tcW w:w="564" w:type="pct"/>
            <w:tcBorders>
              <w:top w:val="single" w:color="auto" w:sz="4" w:space="0"/>
              <w:left w:val="single" w:color="auto" w:sz="4" w:space="0"/>
              <w:bottom w:val="single" w:color="auto" w:sz="4" w:space="0"/>
              <w:right w:val="single" w:color="auto" w:sz="4" w:space="0"/>
            </w:tcBorders>
            <w:vAlign w:val="center"/>
          </w:tcPr>
          <w:p w14:paraId="4881A6D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w:t>
            </w:r>
          </w:p>
        </w:tc>
        <w:tc>
          <w:tcPr>
            <w:tcW w:w="1008" w:type="pct"/>
            <w:tcBorders>
              <w:top w:val="single" w:color="auto" w:sz="4" w:space="0"/>
              <w:left w:val="nil"/>
              <w:bottom w:val="single" w:color="auto" w:sz="4" w:space="0"/>
              <w:right w:val="single" w:color="auto" w:sz="4" w:space="0"/>
            </w:tcBorders>
            <w:vAlign w:val="center"/>
          </w:tcPr>
          <w:p w14:paraId="13464A0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设施完好率</w:t>
            </w:r>
          </w:p>
        </w:tc>
        <w:tc>
          <w:tcPr>
            <w:tcW w:w="3427" w:type="pct"/>
            <w:tcBorders>
              <w:top w:val="single" w:color="auto" w:sz="4" w:space="0"/>
              <w:left w:val="nil"/>
              <w:bottom w:val="single" w:color="auto" w:sz="4" w:space="0"/>
              <w:right w:val="single" w:color="auto" w:sz="4" w:space="0"/>
            </w:tcBorders>
            <w:vAlign w:val="center"/>
          </w:tcPr>
          <w:p w14:paraId="66D76A9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设施完好率合格97%，97%以下不合格具体扣分如下：</w:t>
            </w:r>
          </w:p>
          <w:p w14:paraId="216A4C0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缺灯具一个扣0.3分,灯罩缺少或破损一盏扣0.2分。多头灯饰有折断或损坏扣0.2分。电缆井盖破损一个扣1分。配电箱不清洁,不整齐一台扣0.2分,配电箱内各元器件接触不良或缺损一处扣0.5分。</w:t>
            </w:r>
          </w:p>
        </w:tc>
      </w:tr>
      <w:tr w14:paraId="3CB9146F">
        <w:tblPrEx>
          <w:tblCellMar>
            <w:top w:w="0" w:type="dxa"/>
            <w:left w:w="108" w:type="dxa"/>
            <w:bottom w:w="0" w:type="dxa"/>
            <w:right w:w="108" w:type="dxa"/>
          </w:tblCellMar>
        </w:tblPrEx>
        <w:trPr>
          <w:trHeight w:val="508" w:hRule="atLeast"/>
          <w:jc w:val="center"/>
        </w:trPr>
        <w:tc>
          <w:tcPr>
            <w:tcW w:w="564" w:type="pct"/>
            <w:tcBorders>
              <w:top w:val="single" w:color="auto" w:sz="4" w:space="0"/>
              <w:left w:val="single" w:color="auto" w:sz="4" w:space="0"/>
              <w:bottom w:val="single" w:color="auto" w:sz="4" w:space="0"/>
              <w:right w:val="single" w:color="auto" w:sz="4" w:space="0"/>
            </w:tcBorders>
            <w:vAlign w:val="center"/>
          </w:tcPr>
          <w:p w14:paraId="41F579E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w:t>
            </w:r>
          </w:p>
        </w:tc>
        <w:tc>
          <w:tcPr>
            <w:tcW w:w="1008" w:type="pct"/>
            <w:tcBorders>
              <w:top w:val="single" w:color="auto" w:sz="4" w:space="0"/>
              <w:left w:val="nil"/>
              <w:bottom w:val="single" w:color="auto" w:sz="4" w:space="0"/>
              <w:right w:val="single" w:color="auto" w:sz="4" w:space="0"/>
            </w:tcBorders>
            <w:vAlign w:val="center"/>
          </w:tcPr>
          <w:p w14:paraId="440FAE2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材料合格率</w:t>
            </w:r>
          </w:p>
        </w:tc>
        <w:tc>
          <w:tcPr>
            <w:tcW w:w="3427" w:type="pct"/>
            <w:tcBorders>
              <w:top w:val="single" w:color="auto" w:sz="4" w:space="0"/>
              <w:left w:val="nil"/>
              <w:bottom w:val="single" w:color="auto" w:sz="4" w:space="0"/>
              <w:right w:val="single" w:color="auto" w:sz="4" w:space="0"/>
            </w:tcBorders>
            <w:vAlign w:val="center"/>
          </w:tcPr>
          <w:p w14:paraId="6576EB8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维修材料要求技术指标不低于原有材料、配件的技术标准，并达国标安全标准，外观相同或相仿，配件不符合要求一处扣1分。</w:t>
            </w:r>
          </w:p>
        </w:tc>
      </w:tr>
      <w:tr w14:paraId="25CB5728">
        <w:tblPrEx>
          <w:tblCellMar>
            <w:top w:w="0" w:type="dxa"/>
            <w:left w:w="108" w:type="dxa"/>
            <w:bottom w:w="0" w:type="dxa"/>
            <w:right w:w="108" w:type="dxa"/>
          </w:tblCellMar>
        </w:tblPrEx>
        <w:trPr>
          <w:trHeight w:val="892" w:hRule="atLeast"/>
          <w:jc w:val="center"/>
        </w:trPr>
        <w:tc>
          <w:tcPr>
            <w:tcW w:w="564" w:type="pct"/>
            <w:tcBorders>
              <w:top w:val="single" w:color="auto" w:sz="4" w:space="0"/>
              <w:left w:val="single" w:color="auto" w:sz="4" w:space="0"/>
              <w:bottom w:val="single" w:color="auto" w:sz="4" w:space="0"/>
              <w:right w:val="single" w:color="auto" w:sz="4" w:space="0"/>
            </w:tcBorders>
            <w:vAlign w:val="center"/>
          </w:tcPr>
          <w:p w14:paraId="64AD441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w:t>
            </w:r>
          </w:p>
        </w:tc>
        <w:tc>
          <w:tcPr>
            <w:tcW w:w="1008" w:type="pct"/>
            <w:tcBorders>
              <w:top w:val="single" w:color="auto" w:sz="4" w:space="0"/>
              <w:left w:val="nil"/>
              <w:bottom w:val="single" w:color="auto" w:sz="4" w:space="0"/>
              <w:right w:val="single" w:color="auto" w:sz="4" w:space="0"/>
            </w:tcBorders>
            <w:vAlign w:val="center"/>
          </w:tcPr>
          <w:p w14:paraId="0EA8E9A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故障修复及时</w:t>
            </w:r>
          </w:p>
        </w:tc>
        <w:tc>
          <w:tcPr>
            <w:tcW w:w="3427" w:type="pct"/>
            <w:tcBorders>
              <w:top w:val="single" w:color="auto" w:sz="4" w:space="0"/>
              <w:left w:val="nil"/>
              <w:bottom w:val="single" w:color="auto" w:sz="4" w:space="0"/>
              <w:right w:val="single" w:color="auto" w:sz="4" w:space="0"/>
            </w:tcBorders>
            <w:vAlign w:val="center"/>
          </w:tcPr>
          <w:p w14:paraId="0C8C2DA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故障修复及时，检查每月的维护资料及每月以来检查人员的随机抽查资料和</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任务书的完成情况。每发生一次超期修复故障扣1分。</w:t>
            </w:r>
          </w:p>
          <w:p w14:paraId="55FA02C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一般故障4小时内修复，线路电器短路故障8小时内修复。</w:t>
            </w:r>
          </w:p>
        </w:tc>
      </w:tr>
      <w:tr w14:paraId="65CD0D00">
        <w:tblPrEx>
          <w:tblCellMar>
            <w:top w:w="0" w:type="dxa"/>
            <w:left w:w="108" w:type="dxa"/>
            <w:bottom w:w="0" w:type="dxa"/>
            <w:right w:w="108" w:type="dxa"/>
          </w:tblCellMar>
        </w:tblPrEx>
        <w:trPr>
          <w:trHeight w:val="414" w:hRule="atLeast"/>
          <w:jc w:val="center"/>
        </w:trPr>
        <w:tc>
          <w:tcPr>
            <w:tcW w:w="564" w:type="pct"/>
            <w:tcBorders>
              <w:top w:val="single" w:color="auto" w:sz="4" w:space="0"/>
              <w:left w:val="single" w:color="auto" w:sz="4" w:space="0"/>
              <w:bottom w:val="single" w:color="auto" w:sz="4" w:space="0"/>
              <w:right w:val="single" w:color="auto" w:sz="4" w:space="0"/>
            </w:tcBorders>
            <w:vAlign w:val="center"/>
          </w:tcPr>
          <w:p w14:paraId="30600D0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1008" w:type="pct"/>
            <w:tcBorders>
              <w:top w:val="single" w:color="auto" w:sz="4" w:space="0"/>
              <w:left w:val="nil"/>
              <w:bottom w:val="single" w:color="auto" w:sz="4" w:space="0"/>
              <w:right w:val="single" w:color="auto" w:sz="4" w:space="0"/>
            </w:tcBorders>
            <w:vAlign w:val="center"/>
          </w:tcPr>
          <w:p w14:paraId="718517B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亮灭灯准确</w:t>
            </w:r>
          </w:p>
        </w:tc>
        <w:tc>
          <w:tcPr>
            <w:tcW w:w="3427" w:type="pct"/>
            <w:tcBorders>
              <w:top w:val="single" w:color="auto" w:sz="4" w:space="0"/>
              <w:left w:val="nil"/>
              <w:bottom w:val="single" w:color="auto" w:sz="4" w:space="0"/>
              <w:right w:val="single" w:color="auto" w:sz="4" w:space="0"/>
            </w:tcBorders>
            <w:vAlign w:val="center"/>
          </w:tcPr>
          <w:p w14:paraId="18E4DDC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±10分钟（每组扣0.5分），±20分钟（每组扣1分）。</w:t>
            </w:r>
          </w:p>
        </w:tc>
      </w:tr>
      <w:tr w14:paraId="26A9913E">
        <w:tblPrEx>
          <w:tblCellMar>
            <w:top w:w="0" w:type="dxa"/>
            <w:left w:w="108" w:type="dxa"/>
            <w:bottom w:w="0" w:type="dxa"/>
            <w:right w:w="108" w:type="dxa"/>
          </w:tblCellMar>
        </w:tblPrEx>
        <w:trPr>
          <w:trHeight w:val="455" w:hRule="atLeast"/>
          <w:jc w:val="center"/>
        </w:trPr>
        <w:tc>
          <w:tcPr>
            <w:tcW w:w="564" w:type="pct"/>
            <w:tcBorders>
              <w:top w:val="single" w:color="auto" w:sz="4" w:space="0"/>
              <w:left w:val="single" w:color="auto" w:sz="4" w:space="0"/>
              <w:bottom w:val="single" w:color="auto" w:sz="4" w:space="0"/>
              <w:right w:val="single" w:color="auto" w:sz="4" w:space="0"/>
            </w:tcBorders>
            <w:vAlign w:val="center"/>
          </w:tcPr>
          <w:p w14:paraId="25D0326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w:t>
            </w:r>
          </w:p>
        </w:tc>
        <w:tc>
          <w:tcPr>
            <w:tcW w:w="1008" w:type="pct"/>
            <w:tcBorders>
              <w:top w:val="single" w:color="auto" w:sz="4" w:space="0"/>
              <w:left w:val="nil"/>
              <w:bottom w:val="single" w:color="auto" w:sz="4" w:space="0"/>
              <w:right w:val="single" w:color="auto" w:sz="4" w:space="0"/>
            </w:tcBorders>
            <w:vAlign w:val="center"/>
          </w:tcPr>
          <w:p w14:paraId="4D7BB38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安全操作合格率</w:t>
            </w:r>
          </w:p>
        </w:tc>
        <w:tc>
          <w:tcPr>
            <w:tcW w:w="3427" w:type="pct"/>
            <w:tcBorders>
              <w:top w:val="single" w:color="auto" w:sz="4" w:space="0"/>
              <w:left w:val="nil"/>
              <w:bottom w:val="single" w:color="auto" w:sz="4" w:space="0"/>
              <w:right w:val="single" w:color="auto" w:sz="4" w:space="0"/>
            </w:tcBorders>
            <w:vAlign w:val="center"/>
          </w:tcPr>
          <w:p w14:paraId="7A9D341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缺安全制度一项扣1分，缺安全学习一项扣0. 5分，违反安全规定操作一次扣1分。控制箱必须上锁，如发现没有上锁，一次扣1分。作业时必须两人同时持证上岗作业，未能达到的，一次扣1分。</w:t>
            </w:r>
          </w:p>
        </w:tc>
      </w:tr>
    </w:tbl>
    <w:p w14:paraId="26EE4FF7">
      <w:pPr>
        <w:widowControl/>
        <w:snapToGrid w:val="0"/>
        <w:spacing w:line="360" w:lineRule="auto"/>
        <w:jc w:val="left"/>
        <w:rPr>
          <w:rFonts w:hint="eastAsia" w:ascii="仿宋" w:hAnsi="仿宋" w:eastAsia="仿宋"/>
          <w:color w:val="auto"/>
          <w:sz w:val="24"/>
          <w:highlight w:val="none"/>
        </w:rPr>
      </w:pPr>
    </w:p>
    <w:p w14:paraId="48D709E9">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五、人员配置及车辆设备等配置要求：</w:t>
      </w:r>
    </w:p>
    <w:p w14:paraId="7552930B">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的办公场地、停车场地、工具、车辆存放地和员工住所自行解决，设备、人员要求如下：</w:t>
      </w:r>
    </w:p>
    <w:p w14:paraId="23A7E294">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（1）车辆设备配置要求：</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421"/>
        <w:gridCol w:w="1626"/>
        <w:gridCol w:w="3625"/>
        <w:gridCol w:w="1499"/>
      </w:tblGrid>
      <w:tr w14:paraId="5BED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395" w:type="pct"/>
            <w:vAlign w:val="center"/>
          </w:tcPr>
          <w:p w14:paraId="4462DCB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序号</w:t>
            </w:r>
          </w:p>
        </w:tc>
        <w:tc>
          <w:tcPr>
            <w:tcW w:w="1215" w:type="pct"/>
            <w:vAlign w:val="center"/>
          </w:tcPr>
          <w:p w14:paraId="6A6CDC2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车辆设备名称</w:t>
            </w:r>
          </w:p>
        </w:tc>
        <w:tc>
          <w:tcPr>
            <w:tcW w:w="816" w:type="pct"/>
            <w:vAlign w:val="center"/>
          </w:tcPr>
          <w:p w14:paraId="5EF3CAE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配置数量</w:t>
            </w:r>
          </w:p>
        </w:tc>
        <w:tc>
          <w:tcPr>
            <w:tcW w:w="1819" w:type="pct"/>
            <w:vAlign w:val="center"/>
          </w:tcPr>
          <w:p w14:paraId="5D2BBEB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基本配置要求</w:t>
            </w:r>
          </w:p>
        </w:tc>
        <w:tc>
          <w:tcPr>
            <w:tcW w:w="752" w:type="pct"/>
            <w:vAlign w:val="center"/>
          </w:tcPr>
          <w:p w14:paraId="4B7228A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备注</w:t>
            </w:r>
          </w:p>
        </w:tc>
      </w:tr>
      <w:tr w14:paraId="6358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395" w:type="pct"/>
            <w:vAlign w:val="center"/>
          </w:tcPr>
          <w:p w14:paraId="4D026DE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w:t>
            </w:r>
          </w:p>
        </w:tc>
        <w:tc>
          <w:tcPr>
            <w:tcW w:w="1215" w:type="pct"/>
            <w:vAlign w:val="center"/>
          </w:tcPr>
          <w:p w14:paraId="33935EE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自有全新3吨自卸后装式垃圾压缩车</w:t>
            </w:r>
          </w:p>
        </w:tc>
        <w:tc>
          <w:tcPr>
            <w:tcW w:w="816" w:type="pct"/>
            <w:vAlign w:val="center"/>
          </w:tcPr>
          <w:p w14:paraId="485CCAA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1辆或以上</w:t>
            </w:r>
          </w:p>
        </w:tc>
        <w:tc>
          <w:tcPr>
            <w:tcW w:w="1819" w:type="pct"/>
            <w:vAlign w:val="center"/>
          </w:tcPr>
          <w:p w14:paraId="58E756B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整车为裙装带大包围，垃圾装载箱体整体密封，具有导流槽、防倒流装置及防侧漏装置</w:t>
            </w:r>
          </w:p>
        </w:tc>
        <w:tc>
          <w:tcPr>
            <w:tcW w:w="752" w:type="pct"/>
            <w:vMerge w:val="restart"/>
            <w:vAlign w:val="center"/>
          </w:tcPr>
          <w:p w14:paraId="3D34204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79B0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395" w:type="pct"/>
            <w:vAlign w:val="center"/>
          </w:tcPr>
          <w:p w14:paraId="00DC22A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w:t>
            </w:r>
          </w:p>
        </w:tc>
        <w:tc>
          <w:tcPr>
            <w:tcW w:w="1215" w:type="pct"/>
            <w:vAlign w:val="center"/>
          </w:tcPr>
          <w:p w14:paraId="2D36439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自有全新路面养护车电动路三轮车</w:t>
            </w:r>
          </w:p>
        </w:tc>
        <w:tc>
          <w:tcPr>
            <w:tcW w:w="816" w:type="pct"/>
            <w:vAlign w:val="center"/>
          </w:tcPr>
          <w:p w14:paraId="3115748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2辆或以上</w:t>
            </w:r>
          </w:p>
        </w:tc>
        <w:tc>
          <w:tcPr>
            <w:tcW w:w="1819" w:type="pct"/>
            <w:vAlign w:val="center"/>
          </w:tcPr>
          <w:p w14:paraId="788B38F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清洗装置由前清洗装置、手动喷枪装置等组成，适合村内道路作业</w:t>
            </w:r>
          </w:p>
        </w:tc>
        <w:tc>
          <w:tcPr>
            <w:tcW w:w="752" w:type="pct"/>
            <w:vMerge w:val="continue"/>
            <w:vAlign w:val="center"/>
          </w:tcPr>
          <w:p w14:paraId="62D6A06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253D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395" w:type="pct"/>
            <w:vAlign w:val="center"/>
          </w:tcPr>
          <w:p w14:paraId="5404B6D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w:t>
            </w:r>
          </w:p>
        </w:tc>
        <w:tc>
          <w:tcPr>
            <w:tcW w:w="1215" w:type="pct"/>
            <w:vAlign w:val="center"/>
          </w:tcPr>
          <w:p w14:paraId="20419FA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自有1.5吨或以下自卸式货车</w:t>
            </w:r>
          </w:p>
        </w:tc>
        <w:tc>
          <w:tcPr>
            <w:tcW w:w="816" w:type="pct"/>
            <w:vAlign w:val="center"/>
          </w:tcPr>
          <w:p w14:paraId="4056E66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1辆或以上</w:t>
            </w:r>
          </w:p>
        </w:tc>
        <w:tc>
          <w:tcPr>
            <w:tcW w:w="1819" w:type="pct"/>
            <w:vAlign w:val="center"/>
          </w:tcPr>
          <w:p w14:paraId="4C014C7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用于渣土余泥、工业垃圾、绿化垃圾、大件家私等垃圾收集及应急工作</w:t>
            </w:r>
          </w:p>
        </w:tc>
        <w:tc>
          <w:tcPr>
            <w:tcW w:w="752" w:type="pct"/>
            <w:vMerge w:val="continue"/>
            <w:vAlign w:val="center"/>
          </w:tcPr>
          <w:p w14:paraId="1662E59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5D08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395" w:type="pct"/>
            <w:vAlign w:val="center"/>
          </w:tcPr>
          <w:p w14:paraId="55FB332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w:t>
            </w:r>
          </w:p>
        </w:tc>
        <w:tc>
          <w:tcPr>
            <w:tcW w:w="1215" w:type="pct"/>
            <w:vAlign w:val="center"/>
          </w:tcPr>
          <w:p w14:paraId="525616F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自有专业高空作业车</w:t>
            </w:r>
          </w:p>
        </w:tc>
        <w:tc>
          <w:tcPr>
            <w:tcW w:w="816" w:type="pct"/>
            <w:vAlign w:val="center"/>
          </w:tcPr>
          <w:p w14:paraId="754ECF9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1辆或以上</w:t>
            </w:r>
          </w:p>
        </w:tc>
        <w:tc>
          <w:tcPr>
            <w:tcW w:w="1819" w:type="pct"/>
            <w:vAlign w:val="center"/>
          </w:tcPr>
          <w:p w14:paraId="1527E63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用于园林绿化养护、路灯管理维修、天桥清洗等工作</w:t>
            </w:r>
          </w:p>
        </w:tc>
        <w:tc>
          <w:tcPr>
            <w:tcW w:w="752" w:type="pct"/>
            <w:vMerge w:val="continue"/>
            <w:vAlign w:val="center"/>
          </w:tcPr>
          <w:p w14:paraId="631293F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3317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395" w:type="pct"/>
            <w:vAlign w:val="center"/>
          </w:tcPr>
          <w:p w14:paraId="73A98D8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1215" w:type="pct"/>
            <w:vAlign w:val="center"/>
          </w:tcPr>
          <w:p w14:paraId="2519EE3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10吨吊车</w:t>
            </w:r>
          </w:p>
        </w:tc>
        <w:tc>
          <w:tcPr>
            <w:tcW w:w="816" w:type="pct"/>
            <w:vAlign w:val="center"/>
          </w:tcPr>
          <w:p w14:paraId="034FE83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1辆</w:t>
            </w:r>
          </w:p>
        </w:tc>
        <w:tc>
          <w:tcPr>
            <w:tcW w:w="1819" w:type="pct"/>
            <w:vAlign w:val="center"/>
          </w:tcPr>
          <w:p w14:paraId="57E5D08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用于园林绿化养护、路灯管理维修等工作</w:t>
            </w:r>
          </w:p>
        </w:tc>
        <w:tc>
          <w:tcPr>
            <w:tcW w:w="752" w:type="pct"/>
            <w:vAlign w:val="center"/>
          </w:tcPr>
          <w:p w14:paraId="0DD8C0E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可租用</w:t>
            </w:r>
          </w:p>
        </w:tc>
      </w:tr>
      <w:tr w14:paraId="0664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395" w:type="pct"/>
            <w:vAlign w:val="center"/>
          </w:tcPr>
          <w:p w14:paraId="7207D2E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w:t>
            </w:r>
          </w:p>
        </w:tc>
        <w:tc>
          <w:tcPr>
            <w:tcW w:w="1215" w:type="pct"/>
            <w:vAlign w:val="center"/>
          </w:tcPr>
          <w:p w14:paraId="7E34311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5吨吸粪车</w:t>
            </w:r>
          </w:p>
        </w:tc>
        <w:tc>
          <w:tcPr>
            <w:tcW w:w="816" w:type="pct"/>
            <w:vAlign w:val="center"/>
          </w:tcPr>
          <w:p w14:paraId="2E5216D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1辆</w:t>
            </w:r>
          </w:p>
        </w:tc>
        <w:tc>
          <w:tcPr>
            <w:tcW w:w="1819" w:type="pct"/>
            <w:vAlign w:val="center"/>
          </w:tcPr>
          <w:p w14:paraId="1DDCCB7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用于公厕保洁及排污工作</w:t>
            </w:r>
          </w:p>
        </w:tc>
        <w:tc>
          <w:tcPr>
            <w:tcW w:w="752" w:type="pct"/>
            <w:vAlign w:val="center"/>
          </w:tcPr>
          <w:p w14:paraId="56AD135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可租用</w:t>
            </w:r>
          </w:p>
        </w:tc>
      </w:tr>
      <w:tr w14:paraId="1E2D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395" w:type="pct"/>
            <w:vAlign w:val="center"/>
          </w:tcPr>
          <w:p w14:paraId="1ED2FF5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w:t>
            </w:r>
          </w:p>
        </w:tc>
        <w:tc>
          <w:tcPr>
            <w:tcW w:w="1215" w:type="pct"/>
            <w:vAlign w:val="center"/>
          </w:tcPr>
          <w:p w14:paraId="2FEC454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自有全新非机动保洁船</w:t>
            </w:r>
          </w:p>
        </w:tc>
        <w:tc>
          <w:tcPr>
            <w:tcW w:w="816" w:type="pct"/>
            <w:vAlign w:val="center"/>
          </w:tcPr>
          <w:p w14:paraId="6D97EB3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5艘或以上</w:t>
            </w:r>
          </w:p>
        </w:tc>
        <w:tc>
          <w:tcPr>
            <w:tcW w:w="1819" w:type="pct"/>
            <w:vAlign w:val="center"/>
          </w:tcPr>
          <w:p w14:paraId="699EB97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用于内河涌保洁工作</w:t>
            </w:r>
          </w:p>
        </w:tc>
        <w:tc>
          <w:tcPr>
            <w:tcW w:w="752" w:type="pct"/>
            <w:vMerge w:val="restart"/>
            <w:vAlign w:val="center"/>
          </w:tcPr>
          <w:p w14:paraId="0C1AB0B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1D65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395" w:type="pct"/>
            <w:vAlign w:val="center"/>
          </w:tcPr>
          <w:p w14:paraId="14FC960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w:t>
            </w:r>
          </w:p>
        </w:tc>
        <w:tc>
          <w:tcPr>
            <w:tcW w:w="1215" w:type="pct"/>
            <w:vAlign w:val="center"/>
          </w:tcPr>
          <w:p w14:paraId="7A21BFC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自有全新电动果皮箱保洁车</w:t>
            </w:r>
          </w:p>
        </w:tc>
        <w:tc>
          <w:tcPr>
            <w:tcW w:w="816" w:type="pct"/>
            <w:vAlign w:val="center"/>
          </w:tcPr>
          <w:p w14:paraId="0D388A6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1辆或以上</w:t>
            </w:r>
          </w:p>
        </w:tc>
        <w:tc>
          <w:tcPr>
            <w:tcW w:w="1819" w:type="pct"/>
            <w:vAlign w:val="center"/>
          </w:tcPr>
          <w:p w14:paraId="717CDB2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用于果皮箱清洗保洁工作</w:t>
            </w:r>
          </w:p>
        </w:tc>
        <w:tc>
          <w:tcPr>
            <w:tcW w:w="752" w:type="pct"/>
            <w:vMerge w:val="continue"/>
            <w:vAlign w:val="center"/>
          </w:tcPr>
          <w:p w14:paraId="75B3498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78A5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395" w:type="pct"/>
            <w:vAlign w:val="center"/>
          </w:tcPr>
          <w:p w14:paraId="2B3DA56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w:t>
            </w:r>
          </w:p>
        </w:tc>
        <w:tc>
          <w:tcPr>
            <w:tcW w:w="1215" w:type="pct"/>
            <w:vAlign w:val="center"/>
          </w:tcPr>
          <w:p w14:paraId="5832C98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自有全新电动快速保洁车</w:t>
            </w:r>
          </w:p>
        </w:tc>
        <w:tc>
          <w:tcPr>
            <w:tcW w:w="816" w:type="pct"/>
            <w:vAlign w:val="center"/>
          </w:tcPr>
          <w:p w14:paraId="2AD1063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15辆或以上</w:t>
            </w:r>
          </w:p>
        </w:tc>
        <w:tc>
          <w:tcPr>
            <w:tcW w:w="1819" w:type="pct"/>
            <w:vAlign w:val="center"/>
          </w:tcPr>
          <w:p w14:paraId="3A30983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用于道路保洁及垃圾收集工作</w:t>
            </w:r>
          </w:p>
        </w:tc>
        <w:tc>
          <w:tcPr>
            <w:tcW w:w="752" w:type="pct"/>
            <w:vMerge w:val="continue"/>
            <w:vAlign w:val="center"/>
          </w:tcPr>
          <w:p w14:paraId="1538AEE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7041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395" w:type="pct"/>
            <w:vAlign w:val="center"/>
          </w:tcPr>
          <w:p w14:paraId="5D71B62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w:t>
            </w:r>
          </w:p>
        </w:tc>
        <w:tc>
          <w:tcPr>
            <w:tcW w:w="1215" w:type="pct"/>
            <w:vAlign w:val="center"/>
          </w:tcPr>
          <w:p w14:paraId="5696420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自有全新5匹马力或以上剪草机</w:t>
            </w:r>
          </w:p>
        </w:tc>
        <w:tc>
          <w:tcPr>
            <w:tcW w:w="816" w:type="pct"/>
            <w:vAlign w:val="center"/>
          </w:tcPr>
          <w:p w14:paraId="7FF66D7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2台或以上</w:t>
            </w:r>
          </w:p>
        </w:tc>
        <w:tc>
          <w:tcPr>
            <w:tcW w:w="1819" w:type="pct"/>
            <w:vAlign w:val="center"/>
          </w:tcPr>
          <w:p w14:paraId="244616C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用于园林绿化养护工作</w:t>
            </w:r>
          </w:p>
        </w:tc>
        <w:tc>
          <w:tcPr>
            <w:tcW w:w="752" w:type="pct"/>
            <w:vMerge w:val="continue"/>
            <w:vAlign w:val="center"/>
          </w:tcPr>
          <w:p w14:paraId="09EFDA5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277F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395" w:type="pct"/>
            <w:vAlign w:val="center"/>
          </w:tcPr>
          <w:p w14:paraId="67FF323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w:t>
            </w:r>
          </w:p>
        </w:tc>
        <w:tc>
          <w:tcPr>
            <w:tcW w:w="1215" w:type="pct"/>
            <w:vAlign w:val="center"/>
          </w:tcPr>
          <w:p w14:paraId="3A07D29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全有全新油锯</w:t>
            </w:r>
          </w:p>
        </w:tc>
        <w:tc>
          <w:tcPr>
            <w:tcW w:w="816" w:type="pct"/>
            <w:vAlign w:val="center"/>
          </w:tcPr>
          <w:p w14:paraId="406692A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2台或以上</w:t>
            </w:r>
          </w:p>
        </w:tc>
        <w:tc>
          <w:tcPr>
            <w:tcW w:w="1819" w:type="pct"/>
            <w:vAlign w:val="center"/>
          </w:tcPr>
          <w:p w14:paraId="4D0420D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用于园林绿化养护工作</w:t>
            </w:r>
          </w:p>
        </w:tc>
        <w:tc>
          <w:tcPr>
            <w:tcW w:w="752" w:type="pct"/>
            <w:vMerge w:val="continue"/>
            <w:vAlign w:val="center"/>
          </w:tcPr>
          <w:p w14:paraId="376BC43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72D6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395" w:type="pct"/>
            <w:vAlign w:val="center"/>
          </w:tcPr>
          <w:p w14:paraId="2D64D21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12</w:t>
            </w:r>
          </w:p>
        </w:tc>
        <w:tc>
          <w:tcPr>
            <w:tcW w:w="1215" w:type="pct"/>
            <w:vAlign w:val="center"/>
          </w:tcPr>
          <w:p w14:paraId="5A7AE32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自有全新密闭式垃圾收集桶</w:t>
            </w:r>
          </w:p>
        </w:tc>
        <w:tc>
          <w:tcPr>
            <w:tcW w:w="816" w:type="pct"/>
            <w:vAlign w:val="center"/>
          </w:tcPr>
          <w:p w14:paraId="7842F44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一批</w:t>
            </w:r>
          </w:p>
        </w:tc>
        <w:tc>
          <w:tcPr>
            <w:tcW w:w="1819" w:type="pct"/>
            <w:vAlign w:val="center"/>
          </w:tcPr>
          <w:p w14:paraId="654A3BC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用于道路人力清扫保洁及垃圾收集工作，桶口有密闭桶盖，桶身带有接驳提料机构部位，能接驳具有自动装卸提料机构功能的垃圾收集车</w:t>
            </w:r>
          </w:p>
        </w:tc>
        <w:tc>
          <w:tcPr>
            <w:tcW w:w="752" w:type="pct"/>
            <w:vMerge w:val="continue"/>
            <w:vAlign w:val="center"/>
          </w:tcPr>
          <w:p w14:paraId="7F0D220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bl>
    <w:p w14:paraId="1CF19730">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（2）人员配置要求：</w:t>
      </w:r>
    </w:p>
    <w:tbl>
      <w:tblPr>
        <w:tblStyle w:val="2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753"/>
        <w:gridCol w:w="1703"/>
        <w:gridCol w:w="5489"/>
      </w:tblGrid>
      <w:tr w14:paraId="275C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77F4030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序号</w:t>
            </w:r>
          </w:p>
        </w:tc>
        <w:tc>
          <w:tcPr>
            <w:tcW w:w="881" w:type="pct"/>
            <w:tcBorders>
              <w:top w:val="single" w:color="auto" w:sz="4" w:space="0"/>
              <w:left w:val="nil"/>
              <w:bottom w:val="single" w:color="auto" w:sz="4" w:space="0"/>
              <w:right w:val="single" w:color="auto" w:sz="4" w:space="0"/>
            </w:tcBorders>
            <w:vAlign w:val="center"/>
          </w:tcPr>
          <w:p w14:paraId="32CC647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类别</w:t>
            </w:r>
          </w:p>
        </w:tc>
        <w:tc>
          <w:tcPr>
            <w:tcW w:w="856" w:type="pct"/>
            <w:tcBorders>
              <w:top w:val="single" w:color="auto" w:sz="4" w:space="0"/>
              <w:left w:val="nil"/>
              <w:bottom w:val="single" w:color="auto" w:sz="4" w:space="0"/>
              <w:right w:val="single" w:color="auto" w:sz="4" w:space="0"/>
            </w:tcBorders>
            <w:vAlign w:val="center"/>
          </w:tcPr>
          <w:p w14:paraId="000B7EF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配置数量</w:t>
            </w:r>
          </w:p>
        </w:tc>
        <w:tc>
          <w:tcPr>
            <w:tcW w:w="2759" w:type="pct"/>
            <w:tcBorders>
              <w:top w:val="single" w:color="auto" w:sz="4" w:space="0"/>
              <w:left w:val="nil"/>
              <w:bottom w:val="single" w:color="auto" w:sz="4" w:space="0"/>
              <w:right w:val="single" w:color="auto" w:sz="4" w:space="0"/>
            </w:tcBorders>
            <w:vAlign w:val="center"/>
          </w:tcPr>
          <w:p w14:paraId="1131CB5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备注</w:t>
            </w:r>
          </w:p>
        </w:tc>
      </w:tr>
      <w:tr w14:paraId="0015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144EBE1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w:t>
            </w:r>
          </w:p>
        </w:tc>
        <w:tc>
          <w:tcPr>
            <w:tcW w:w="881" w:type="pct"/>
            <w:tcBorders>
              <w:top w:val="single" w:color="auto" w:sz="4" w:space="0"/>
              <w:left w:val="nil"/>
              <w:bottom w:val="single" w:color="auto" w:sz="4" w:space="0"/>
              <w:right w:val="single" w:color="auto" w:sz="4" w:space="0"/>
            </w:tcBorders>
            <w:vAlign w:val="center"/>
          </w:tcPr>
          <w:p w14:paraId="13806B9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管理人员</w:t>
            </w:r>
          </w:p>
        </w:tc>
        <w:tc>
          <w:tcPr>
            <w:tcW w:w="856" w:type="pct"/>
            <w:tcBorders>
              <w:top w:val="single" w:color="auto" w:sz="4" w:space="0"/>
              <w:left w:val="nil"/>
              <w:bottom w:val="single" w:color="auto" w:sz="4" w:space="0"/>
              <w:right w:val="single" w:color="auto" w:sz="4" w:space="0"/>
            </w:tcBorders>
            <w:vAlign w:val="center"/>
          </w:tcPr>
          <w:p w14:paraId="6181561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4人或以上</w:t>
            </w:r>
          </w:p>
        </w:tc>
        <w:tc>
          <w:tcPr>
            <w:tcW w:w="2759" w:type="pct"/>
            <w:tcBorders>
              <w:top w:val="single" w:color="auto" w:sz="4" w:space="0"/>
              <w:left w:val="nil"/>
              <w:bottom w:val="single" w:color="auto" w:sz="4" w:space="0"/>
              <w:right w:val="single" w:color="auto" w:sz="4" w:space="0"/>
            </w:tcBorders>
            <w:vAlign w:val="center"/>
          </w:tcPr>
          <w:p w14:paraId="2FA53C8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含项目负责人，项目负责人应具有清扫收集运输运营项目经理类证书、生态环境管理与咨询职称证书、安全生产知识和管理能力考核合格证明、垃圾分类项目管理师类证书；现场管理员具有清扫收集运输运营项目经理证书、安全生产知识和管理能力考核合格证、垃圾（固废）处理及资源化工程师证书。</w:t>
            </w:r>
          </w:p>
        </w:tc>
      </w:tr>
      <w:tr w14:paraId="1113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24855C3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w:t>
            </w:r>
          </w:p>
        </w:tc>
        <w:tc>
          <w:tcPr>
            <w:tcW w:w="881" w:type="pct"/>
            <w:tcBorders>
              <w:top w:val="single" w:color="auto" w:sz="4" w:space="0"/>
              <w:left w:val="nil"/>
              <w:bottom w:val="single" w:color="auto" w:sz="4" w:space="0"/>
              <w:right w:val="single" w:color="auto" w:sz="4" w:space="0"/>
            </w:tcBorders>
            <w:vAlign w:val="center"/>
          </w:tcPr>
          <w:p w14:paraId="2006BA1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环卫工人</w:t>
            </w:r>
          </w:p>
        </w:tc>
        <w:tc>
          <w:tcPr>
            <w:tcW w:w="856" w:type="pct"/>
            <w:tcBorders>
              <w:top w:val="single" w:color="auto" w:sz="4" w:space="0"/>
              <w:left w:val="nil"/>
              <w:bottom w:val="single" w:color="auto" w:sz="4" w:space="0"/>
              <w:right w:val="single" w:color="auto" w:sz="4" w:space="0"/>
            </w:tcBorders>
            <w:vAlign w:val="center"/>
          </w:tcPr>
          <w:p w14:paraId="566FEF5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75人或以上</w:t>
            </w:r>
          </w:p>
        </w:tc>
        <w:tc>
          <w:tcPr>
            <w:tcW w:w="2759" w:type="pct"/>
            <w:tcBorders>
              <w:top w:val="single" w:color="auto" w:sz="4" w:space="0"/>
              <w:left w:val="nil"/>
              <w:bottom w:val="single" w:color="auto" w:sz="4" w:space="0"/>
              <w:right w:val="single" w:color="auto" w:sz="4" w:space="0"/>
            </w:tcBorders>
            <w:vAlign w:val="center"/>
          </w:tcPr>
          <w:p w14:paraId="522D0DF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1ABA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5CA07A5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w:t>
            </w:r>
          </w:p>
        </w:tc>
        <w:tc>
          <w:tcPr>
            <w:tcW w:w="881" w:type="pct"/>
            <w:tcBorders>
              <w:top w:val="single" w:color="auto" w:sz="4" w:space="0"/>
              <w:left w:val="nil"/>
              <w:bottom w:val="single" w:color="auto" w:sz="4" w:space="0"/>
              <w:right w:val="single" w:color="auto" w:sz="4" w:space="0"/>
            </w:tcBorders>
            <w:vAlign w:val="center"/>
          </w:tcPr>
          <w:p w14:paraId="20EDE8B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绿化工人</w:t>
            </w:r>
          </w:p>
        </w:tc>
        <w:tc>
          <w:tcPr>
            <w:tcW w:w="856" w:type="pct"/>
            <w:tcBorders>
              <w:top w:val="single" w:color="auto" w:sz="4" w:space="0"/>
              <w:left w:val="nil"/>
              <w:bottom w:val="single" w:color="auto" w:sz="4" w:space="0"/>
              <w:right w:val="single" w:color="auto" w:sz="4" w:space="0"/>
            </w:tcBorders>
            <w:vAlign w:val="center"/>
          </w:tcPr>
          <w:p w14:paraId="7C01275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5人或以上</w:t>
            </w:r>
          </w:p>
        </w:tc>
        <w:tc>
          <w:tcPr>
            <w:tcW w:w="2759" w:type="pct"/>
            <w:tcBorders>
              <w:top w:val="single" w:color="auto" w:sz="4" w:space="0"/>
              <w:left w:val="nil"/>
              <w:bottom w:val="single" w:color="auto" w:sz="4" w:space="0"/>
              <w:right w:val="single" w:color="auto" w:sz="4" w:space="0"/>
            </w:tcBorders>
            <w:vAlign w:val="center"/>
          </w:tcPr>
          <w:p w14:paraId="2F422A2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1A45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29C80FF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w:t>
            </w:r>
          </w:p>
        </w:tc>
        <w:tc>
          <w:tcPr>
            <w:tcW w:w="881" w:type="pct"/>
            <w:tcBorders>
              <w:top w:val="single" w:color="auto" w:sz="4" w:space="0"/>
              <w:left w:val="nil"/>
              <w:bottom w:val="single" w:color="auto" w:sz="4" w:space="0"/>
              <w:right w:val="single" w:color="auto" w:sz="4" w:space="0"/>
            </w:tcBorders>
            <w:vAlign w:val="center"/>
          </w:tcPr>
          <w:p w14:paraId="3DF0E8C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排水、路灯维护人员</w:t>
            </w:r>
          </w:p>
        </w:tc>
        <w:tc>
          <w:tcPr>
            <w:tcW w:w="856" w:type="pct"/>
            <w:tcBorders>
              <w:top w:val="single" w:color="auto" w:sz="4" w:space="0"/>
              <w:left w:val="nil"/>
              <w:bottom w:val="single" w:color="auto" w:sz="4" w:space="0"/>
              <w:right w:val="single" w:color="auto" w:sz="4" w:space="0"/>
            </w:tcBorders>
            <w:vAlign w:val="center"/>
          </w:tcPr>
          <w:p w14:paraId="69CF3CA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3人或以上</w:t>
            </w:r>
          </w:p>
        </w:tc>
        <w:tc>
          <w:tcPr>
            <w:tcW w:w="2759" w:type="pct"/>
            <w:tcBorders>
              <w:top w:val="single" w:color="auto" w:sz="4" w:space="0"/>
              <w:left w:val="nil"/>
              <w:bottom w:val="single" w:color="auto" w:sz="4" w:space="0"/>
              <w:right w:val="single" w:color="auto" w:sz="4" w:space="0"/>
            </w:tcBorders>
            <w:vAlign w:val="center"/>
          </w:tcPr>
          <w:p w14:paraId="54B620A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2097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23A8634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881" w:type="pct"/>
            <w:tcBorders>
              <w:top w:val="single" w:color="auto" w:sz="4" w:space="0"/>
              <w:left w:val="nil"/>
              <w:bottom w:val="single" w:color="auto" w:sz="4" w:space="0"/>
              <w:right w:val="single" w:color="auto" w:sz="4" w:space="0"/>
            </w:tcBorders>
            <w:vAlign w:val="center"/>
          </w:tcPr>
          <w:p w14:paraId="36C12B4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内河道保洁人员</w:t>
            </w:r>
          </w:p>
        </w:tc>
        <w:tc>
          <w:tcPr>
            <w:tcW w:w="856" w:type="pct"/>
            <w:tcBorders>
              <w:top w:val="single" w:color="auto" w:sz="4" w:space="0"/>
              <w:left w:val="nil"/>
              <w:bottom w:val="single" w:color="auto" w:sz="4" w:space="0"/>
              <w:right w:val="single" w:color="auto" w:sz="4" w:space="0"/>
            </w:tcBorders>
            <w:vAlign w:val="center"/>
          </w:tcPr>
          <w:p w14:paraId="683E6BE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3人或以上</w:t>
            </w:r>
          </w:p>
        </w:tc>
        <w:tc>
          <w:tcPr>
            <w:tcW w:w="2759" w:type="pct"/>
            <w:tcBorders>
              <w:top w:val="single" w:color="auto" w:sz="4" w:space="0"/>
              <w:left w:val="nil"/>
              <w:bottom w:val="single" w:color="auto" w:sz="4" w:space="0"/>
              <w:right w:val="single" w:color="auto" w:sz="4" w:space="0"/>
            </w:tcBorders>
            <w:vAlign w:val="center"/>
          </w:tcPr>
          <w:p w14:paraId="585F618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5096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83" w:type="pct"/>
            <w:gridSpan w:val="2"/>
            <w:tcBorders>
              <w:top w:val="single" w:color="auto" w:sz="4" w:space="0"/>
              <w:left w:val="single" w:color="auto" w:sz="4" w:space="0"/>
              <w:bottom w:val="single" w:color="auto" w:sz="4" w:space="0"/>
              <w:right w:val="single" w:color="auto" w:sz="4" w:space="0"/>
            </w:tcBorders>
            <w:vAlign w:val="center"/>
          </w:tcPr>
          <w:p w14:paraId="1904C56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合计</w:t>
            </w:r>
          </w:p>
        </w:tc>
        <w:tc>
          <w:tcPr>
            <w:tcW w:w="856" w:type="pct"/>
            <w:tcBorders>
              <w:top w:val="single" w:color="auto" w:sz="4" w:space="0"/>
              <w:left w:val="nil"/>
              <w:bottom w:val="single" w:color="auto" w:sz="4" w:space="0"/>
              <w:right w:val="single" w:color="auto" w:sz="4" w:space="0"/>
            </w:tcBorders>
            <w:vAlign w:val="center"/>
          </w:tcPr>
          <w:p w14:paraId="14DA4A5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90人或以上</w:t>
            </w:r>
          </w:p>
        </w:tc>
        <w:tc>
          <w:tcPr>
            <w:tcW w:w="2759" w:type="pct"/>
            <w:tcBorders>
              <w:top w:val="single" w:color="auto" w:sz="4" w:space="0"/>
              <w:left w:val="nil"/>
              <w:bottom w:val="single" w:color="auto" w:sz="4" w:space="0"/>
              <w:right w:val="single" w:color="auto" w:sz="4" w:space="0"/>
            </w:tcBorders>
            <w:vAlign w:val="center"/>
          </w:tcPr>
          <w:p w14:paraId="3457E88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bl>
    <w:p w14:paraId="19C8F371">
      <w:pPr>
        <w:widowControl/>
        <w:snapToGrid w:val="0"/>
        <w:spacing w:line="360" w:lineRule="auto"/>
        <w:jc w:val="left"/>
        <w:rPr>
          <w:rFonts w:hint="eastAsia" w:ascii="仿宋" w:hAnsi="仿宋" w:eastAsia="仿宋"/>
          <w:color w:val="auto"/>
          <w:sz w:val="24"/>
          <w:highlight w:val="none"/>
        </w:rPr>
      </w:pPr>
    </w:p>
    <w:p w14:paraId="24BACE27">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六、检查考核办法</w:t>
      </w:r>
    </w:p>
    <w:p w14:paraId="00890DAE">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项目的质量检查考核分不定期巡检和月度检查。不定期巡检和月度检查均由采购人负责。</w:t>
      </w:r>
    </w:p>
    <w:p w14:paraId="48A42D7F">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负责有权委托第三方开展质检业务，履行监督职责。</w:t>
      </w:r>
    </w:p>
    <w:p w14:paraId="7FE9581A">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1、检查考核流程:</w:t>
      </w:r>
    </w:p>
    <w:p w14:paraId="60A5AF9E">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（1）不定期巡检:</w:t>
      </w:r>
    </w:p>
    <w:p w14:paraId="544CC592">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发现存在问题→通知农村社区→发出整改通知或处置单→签名确认→整改回复。</w:t>
      </w:r>
    </w:p>
    <w:p w14:paraId="526FEB9A">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（2）月检:</w:t>
      </w:r>
    </w:p>
    <w:p w14:paraId="18D9E0FE">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随机通知检查→现场检查考核→集中评分→发出整改通知或处置单→签名确认→整改回复。</w:t>
      </w:r>
    </w:p>
    <w:p w14:paraId="0FC3D9E5">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2、检查办法:</w:t>
      </w:r>
    </w:p>
    <w:p w14:paraId="61B8B118">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（1）不定期检查办法:</w:t>
      </w:r>
    </w:p>
    <w:p w14:paraId="469A3BC9">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不定期对服务项目进行随机抽查，对现场检查发现的存在问题，整改通知或处置单，要求在限期内对存在问题进行整改。</w:t>
      </w:r>
    </w:p>
    <w:p w14:paraId="43E09312">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（2）月检办法:</w:t>
      </w:r>
    </w:p>
    <w:p w14:paraId="25720941">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对服务项目进行月度综合考核评分。评分采用100分制，评分达到85分（含85分）以上为合格，85分以下为不合格；月评分结果不合格的，将在街道范围内通报；月度评分排名末两位的社区由社区书记作书面检讨。月度评分结果纳入年度综合评定计发奖励费用。</w:t>
      </w:r>
    </w:p>
    <w:p w14:paraId="7D80BB3F">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（3）年度考核：</w:t>
      </w:r>
    </w:p>
    <w:p w14:paraId="421E7290">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全年（12个月）月均得分作为年度综合考核得分，分档次发放奖励费用，具体如下：</w:t>
      </w:r>
    </w:p>
    <w:p w14:paraId="44DF1F41">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第一档：大于等于85分，按100%发放提留奖励费用；</w:t>
      </w:r>
    </w:p>
    <w:p w14:paraId="7C3A5A6D">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第二档：75</w:t>
      </w:r>
      <w:r>
        <w:rPr>
          <w:rFonts w:hint="eastAsia" w:ascii="仿宋" w:hAnsi="仿宋" w:eastAsia="仿宋"/>
          <w:color w:val="auto"/>
          <w:sz w:val="24"/>
          <w:highlight w:val="none"/>
          <w:lang w:eastAsia="zh-CN"/>
        </w:rPr>
        <w:t>分</w:t>
      </w:r>
      <w:r>
        <w:rPr>
          <w:rFonts w:hint="eastAsia" w:ascii="仿宋" w:hAnsi="仿宋" w:eastAsia="仿宋"/>
          <w:color w:val="auto"/>
          <w:sz w:val="24"/>
          <w:highlight w:val="none"/>
        </w:rPr>
        <w:t>至 85分，按80%发放提留奖励费用；</w:t>
      </w:r>
    </w:p>
    <w:p w14:paraId="65E52870">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第三档：65</w:t>
      </w:r>
      <w:r>
        <w:rPr>
          <w:rFonts w:hint="eastAsia" w:ascii="仿宋" w:hAnsi="仿宋" w:eastAsia="仿宋"/>
          <w:color w:val="auto"/>
          <w:sz w:val="24"/>
          <w:highlight w:val="none"/>
          <w:lang w:eastAsia="zh-CN"/>
        </w:rPr>
        <w:t>分</w:t>
      </w:r>
      <w:r>
        <w:rPr>
          <w:rFonts w:hint="eastAsia" w:ascii="仿宋" w:hAnsi="仿宋" w:eastAsia="仿宋"/>
          <w:color w:val="auto"/>
          <w:sz w:val="24"/>
          <w:highlight w:val="none"/>
        </w:rPr>
        <w:t>至 75分，按50%发放提留奖励费用；</w:t>
      </w:r>
    </w:p>
    <w:p w14:paraId="5B22E313">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第四档：小于65分，不合格，不发放提留奖励费用</w:t>
      </w:r>
      <w:r>
        <w:rPr>
          <w:rFonts w:hint="eastAsia" w:ascii="仿宋" w:hAnsi="仿宋" w:eastAsia="仿宋"/>
          <w:color w:val="auto"/>
          <w:sz w:val="24"/>
          <w:highlight w:val="none"/>
          <w:lang w:eastAsia="zh-CN"/>
        </w:rPr>
        <w:t>且采购人有权单方面解除合同</w:t>
      </w:r>
      <w:r>
        <w:rPr>
          <w:rFonts w:hint="eastAsia" w:ascii="仿宋" w:hAnsi="仿宋" w:eastAsia="仿宋"/>
          <w:color w:val="auto"/>
          <w:sz w:val="24"/>
          <w:highlight w:val="none"/>
        </w:rPr>
        <w:t>。</w:t>
      </w:r>
    </w:p>
    <w:p w14:paraId="33157449">
      <w:pPr>
        <w:widowControl/>
        <w:snapToGrid w:val="0"/>
        <w:spacing w:line="360" w:lineRule="auto"/>
        <w:jc w:val="left"/>
        <w:rPr>
          <w:rFonts w:hint="eastAsia" w:ascii="仿宋" w:hAnsi="仿宋" w:eastAsia="仿宋"/>
          <w:color w:val="auto"/>
          <w:sz w:val="24"/>
          <w:highlight w:val="none"/>
        </w:rPr>
      </w:pPr>
    </w:p>
    <w:p w14:paraId="3241D6A0">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3、《桂城街道农村社区自主统筹实施市政管理一体化质量月检评分表》</w:t>
      </w:r>
    </w:p>
    <w:tbl>
      <w:tblPr>
        <w:tblStyle w:val="23"/>
        <w:tblW w:w="49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4069"/>
        <w:gridCol w:w="578"/>
        <w:gridCol w:w="810"/>
        <w:gridCol w:w="1266"/>
        <w:gridCol w:w="945"/>
        <w:gridCol w:w="822"/>
        <w:gridCol w:w="941"/>
      </w:tblGrid>
      <w:tr w14:paraId="324D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000" w:type="pct"/>
            <w:gridSpan w:val="8"/>
            <w:vAlign w:val="center"/>
          </w:tcPr>
          <w:p w14:paraId="51B77C7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桂城街道农村社区自主统筹实施市政管理一体化质量月检评分表</w:t>
            </w:r>
          </w:p>
        </w:tc>
      </w:tr>
      <w:tr w14:paraId="6EF4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110" w:type="pct"/>
            <w:gridSpan w:val="6"/>
            <w:vAlign w:val="center"/>
          </w:tcPr>
          <w:p w14:paraId="13DB953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项目名称：</w:t>
            </w:r>
          </w:p>
        </w:tc>
        <w:tc>
          <w:tcPr>
            <w:tcW w:w="889" w:type="pct"/>
            <w:gridSpan w:val="2"/>
            <w:vAlign w:val="center"/>
          </w:tcPr>
          <w:p w14:paraId="5ABE902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天气:      </w:t>
            </w:r>
          </w:p>
        </w:tc>
      </w:tr>
      <w:tr w14:paraId="3E0E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633" w:type="pct"/>
            <w:gridSpan w:val="5"/>
            <w:vAlign w:val="center"/>
          </w:tcPr>
          <w:p w14:paraId="6C22057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实施单位：</w:t>
            </w:r>
          </w:p>
        </w:tc>
        <w:tc>
          <w:tcPr>
            <w:tcW w:w="1366" w:type="pct"/>
            <w:gridSpan w:val="3"/>
            <w:vAlign w:val="center"/>
          </w:tcPr>
          <w:p w14:paraId="655371E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日期:  月   日</w:t>
            </w:r>
          </w:p>
        </w:tc>
      </w:tr>
      <w:tr w14:paraId="281A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39" w:type="pct"/>
            <w:vAlign w:val="center"/>
          </w:tcPr>
          <w:p w14:paraId="4343C68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序号</w:t>
            </w:r>
          </w:p>
        </w:tc>
        <w:tc>
          <w:tcPr>
            <w:tcW w:w="2054" w:type="pct"/>
            <w:vAlign w:val="center"/>
          </w:tcPr>
          <w:p w14:paraId="0A99C2D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检查项目</w:t>
            </w:r>
          </w:p>
        </w:tc>
        <w:tc>
          <w:tcPr>
            <w:tcW w:w="292" w:type="pct"/>
            <w:vAlign w:val="center"/>
          </w:tcPr>
          <w:p w14:paraId="5C1A513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具体时间</w:t>
            </w:r>
          </w:p>
        </w:tc>
        <w:tc>
          <w:tcPr>
            <w:tcW w:w="409" w:type="pct"/>
            <w:vAlign w:val="center"/>
          </w:tcPr>
          <w:p w14:paraId="24A74AD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地点</w:t>
            </w:r>
          </w:p>
        </w:tc>
        <w:tc>
          <w:tcPr>
            <w:tcW w:w="636" w:type="pct"/>
            <w:vAlign w:val="center"/>
          </w:tcPr>
          <w:p w14:paraId="28AF93E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存在问题</w:t>
            </w:r>
          </w:p>
        </w:tc>
        <w:tc>
          <w:tcPr>
            <w:tcW w:w="476" w:type="pct"/>
            <w:vAlign w:val="center"/>
          </w:tcPr>
          <w:p w14:paraId="0B0358F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扣减条款</w:t>
            </w:r>
          </w:p>
        </w:tc>
        <w:tc>
          <w:tcPr>
            <w:tcW w:w="415" w:type="pct"/>
            <w:vAlign w:val="center"/>
          </w:tcPr>
          <w:p w14:paraId="6D8FABA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扣减分值(分）</w:t>
            </w:r>
          </w:p>
        </w:tc>
        <w:tc>
          <w:tcPr>
            <w:tcW w:w="473" w:type="pct"/>
            <w:vAlign w:val="center"/>
          </w:tcPr>
          <w:p w14:paraId="4C2151D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实得分（分）</w:t>
            </w:r>
          </w:p>
        </w:tc>
      </w:tr>
      <w:tr w14:paraId="16A6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39" w:type="pct"/>
            <w:vAlign w:val="center"/>
          </w:tcPr>
          <w:p w14:paraId="45100BB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w:t>
            </w:r>
          </w:p>
        </w:tc>
        <w:tc>
          <w:tcPr>
            <w:tcW w:w="2054" w:type="pct"/>
            <w:vAlign w:val="center"/>
          </w:tcPr>
          <w:p w14:paraId="7C0DD31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公共厕所卫生管理（5分）</w:t>
            </w:r>
          </w:p>
        </w:tc>
        <w:tc>
          <w:tcPr>
            <w:tcW w:w="292" w:type="pct"/>
            <w:vAlign w:val="center"/>
          </w:tcPr>
          <w:p w14:paraId="4C50361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09" w:type="pct"/>
            <w:vAlign w:val="center"/>
          </w:tcPr>
          <w:p w14:paraId="0342189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636" w:type="pct"/>
            <w:vAlign w:val="center"/>
          </w:tcPr>
          <w:p w14:paraId="3CC7EFA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76" w:type="pct"/>
            <w:vAlign w:val="center"/>
          </w:tcPr>
          <w:p w14:paraId="55CAF78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15" w:type="pct"/>
            <w:vAlign w:val="center"/>
          </w:tcPr>
          <w:p w14:paraId="05D3068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73" w:type="pct"/>
            <w:vMerge w:val="restart"/>
            <w:vAlign w:val="center"/>
          </w:tcPr>
          <w:p w14:paraId="77E44F8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5D54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39" w:type="pct"/>
            <w:vAlign w:val="center"/>
          </w:tcPr>
          <w:p w14:paraId="2420AC7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w:t>
            </w:r>
          </w:p>
        </w:tc>
        <w:tc>
          <w:tcPr>
            <w:tcW w:w="2054" w:type="pct"/>
            <w:vAlign w:val="center"/>
          </w:tcPr>
          <w:p w14:paraId="6FD8D64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道路、道路可视范围内（含车道、人行道、桥梁、人行天桥、地下通道、居民社区等）及公共场所的卫生管理（30分）</w:t>
            </w:r>
          </w:p>
        </w:tc>
        <w:tc>
          <w:tcPr>
            <w:tcW w:w="292" w:type="pct"/>
            <w:vAlign w:val="center"/>
          </w:tcPr>
          <w:p w14:paraId="1146C68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09" w:type="pct"/>
            <w:vAlign w:val="center"/>
          </w:tcPr>
          <w:p w14:paraId="3E0130F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636" w:type="pct"/>
            <w:vAlign w:val="center"/>
          </w:tcPr>
          <w:p w14:paraId="7C85EC4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76" w:type="pct"/>
            <w:vAlign w:val="center"/>
          </w:tcPr>
          <w:p w14:paraId="0A4B657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15" w:type="pct"/>
            <w:vAlign w:val="center"/>
          </w:tcPr>
          <w:p w14:paraId="465789B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73" w:type="pct"/>
            <w:vMerge w:val="continue"/>
            <w:vAlign w:val="center"/>
          </w:tcPr>
          <w:p w14:paraId="3D0BCD0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1567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39" w:type="pct"/>
            <w:shd w:val="clear" w:color="auto" w:fill="auto"/>
            <w:vAlign w:val="center"/>
          </w:tcPr>
          <w:p w14:paraId="79FEBFB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w:t>
            </w:r>
          </w:p>
        </w:tc>
        <w:tc>
          <w:tcPr>
            <w:tcW w:w="2054" w:type="pct"/>
            <w:shd w:val="clear" w:color="auto" w:fill="auto"/>
            <w:vAlign w:val="center"/>
          </w:tcPr>
          <w:p w14:paraId="075940F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垃圾中转站、果皮箱等垃圾收集容器保洁与维护及工工具房（点）、取水点管理（10分）</w:t>
            </w:r>
          </w:p>
        </w:tc>
        <w:tc>
          <w:tcPr>
            <w:tcW w:w="292" w:type="pct"/>
            <w:shd w:val="clear" w:color="auto" w:fill="auto"/>
            <w:vAlign w:val="center"/>
          </w:tcPr>
          <w:p w14:paraId="7D38B82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09" w:type="pct"/>
            <w:shd w:val="clear" w:color="auto" w:fill="auto"/>
            <w:vAlign w:val="center"/>
          </w:tcPr>
          <w:p w14:paraId="292B7DB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636" w:type="pct"/>
            <w:shd w:val="clear" w:color="auto" w:fill="auto"/>
            <w:vAlign w:val="center"/>
          </w:tcPr>
          <w:p w14:paraId="0796C5C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76" w:type="pct"/>
            <w:vAlign w:val="center"/>
          </w:tcPr>
          <w:p w14:paraId="4718D27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15" w:type="pct"/>
            <w:vAlign w:val="center"/>
          </w:tcPr>
          <w:p w14:paraId="092AF44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73" w:type="pct"/>
            <w:vMerge w:val="continue"/>
            <w:vAlign w:val="center"/>
          </w:tcPr>
          <w:p w14:paraId="271BDCC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7F11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39" w:type="pct"/>
            <w:shd w:val="clear" w:color="auto" w:fill="auto"/>
            <w:vAlign w:val="center"/>
          </w:tcPr>
          <w:p w14:paraId="4F7DC07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w:t>
            </w:r>
          </w:p>
        </w:tc>
        <w:tc>
          <w:tcPr>
            <w:tcW w:w="2054" w:type="pct"/>
            <w:shd w:val="clear" w:color="auto" w:fill="auto"/>
            <w:vAlign w:val="center"/>
          </w:tcPr>
          <w:p w14:paraId="6B509EA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垃圾分类收集管理（5分）</w:t>
            </w:r>
          </w:p>
        </w:tc>
        <w:tc>
          <w:tcPr>
            <w:tcW w:w="292" w:type="pct"/>
            <w:shd w:val="clear" w:color="auto" w:fill="auto"/>
            <w:vAlign w:val="center"/>
          </w:tcPr>
          <w:p w14:paraId="339A7B6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09" w:type="pct"/>
            <w:shd w:val="clear" w:color="auto" w:fill="auto"/>
            <w:vAlign w:val="center"/>
          </w:tcPr>
          <w:p w14:paraId="6FEC7F7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636" w:type="pct"/>
            <w:shd w:val="clear" w:color="auto" w:fill="auto"/>
            <w:vAlign w:val="center"/>
          </w:tcPr>
          <w:p w14:paraId="5582F1C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76" w:type="pct"/>
            <w:vAlign w:val="center"/>
          </w:tcPr>
          <w:p w14:paraId="4B1FD0A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15" w:type="pct"/>
            <w:vAlign w:val="center"/>
          </w:tcPr>
          <w:p w14:paraId="27D4A80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73" w:type="pct"/>
            <w:vMerge w:val="continue"/>
            <w:vAlign w:val="center"/>
          </w:tcPr>
          <w:p w14:paraId="1FEDFA5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2B83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39" w:type="pct"/>
            <w:vAlign w:val="center"/>
          </w:tcPr>
          <w:p w14:paraId="6141A82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2054" w:type="pct"/>
            <w:vAlign w:val="center"/>
          </w:tcPr>
          <w:p w14:paraId="5425390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河涌卫生管理（含公共水体部分）（5分）</w:t>
            </w:r>
          </w:p>
        </w:tc>
        <w:tc>
          <w:tcPr>
            <w:tcW w:w="292" w:type="pct"/>
            <w:vAlign w:val="center"/>
          </w:tcPr>
          <w:p w14:paraId="6A6711C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09" w:type="pct"/>
            <w:vAlign w:val="center"/>
          </w:tcPr>
          <w:p w14:paraId="2DED458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636" w:type="pct"/>
            <w:vAlign w:val="center"/>
          </w:tcPr>
          <w:p w14:paraId="1A1849B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76" w:type="pct"/>
            <w:vAlign w:val="center"/>
          </w:tcPr>
          <w:p w14:paraId="17E0FAD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15" w:type="pct"/>
            <w:vAlign w:val="center"/>
          </w:tcPr>
          <w:p w14:paraId="3DE7EFB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73" w:type="pct"/>
            <w:vMerge w:val="continue"/>
            <w:vAlign w:val="center"/>
          </w:tcPr>
          <w:p w14:paraId="60CEE97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7B24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39" w:type="pct"/>
            <w:vAlign w:val="center"/>
          </w:tcPr>
          <w:p w14:paraId="17AFB84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w:t>
            </w:r>
          </w:p>
        </w:tc>
        <w:tc>
          <w:tcPr>
            <w:tcW w:w="2054" w:type="pct"/>
            <w:vAlign w:val="center"/>
          </w:tcPr>
          <w:p w14:paraId="26EAA67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安全生产管理（5分）</w:t>
            </w:r>
          </w:p>
        </w:tc>
        <w:tc>
          <w:tcPr>
            <w:tcW w:w="292" w:type="pct"/>
            <w:vAlign w:val="center"/>
          </w:tcPr>
          <w:p w14:paraId="4A974B6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09" w:type="pct"/>
            <w:vAlign w:val="center"/>
          </w:tcPr>
          <w:p w14:paraId="7D94044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636" w:type="pct"/>
            <w:vAlign w:val="center"/>
          </w:tcPr>
          <w:p w14:paraId="28136BA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76" w:type="pct"/>
            <w:vAlign w:val="center"/>
          </w:tcPr>
          <w:p w14:paraId="149D3EA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15" w:type="pct"/>
            <w:vAlign w:val="center"/>
          </w:tcPr>
          <w:p w14:paraId="0ADFA2A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73" w:type="pct"/>
            <w:vMerge w:val="continue"/>
            <w:vAlign w:val="center"/>
          </w:tcPr>
          <w:p w14:paraId="5E289EC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3582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39" w:type="pct"/>
            <w:vAlign w:val="center"/>
          </w:tcPr>
          <w:p w14:paraId="0B29654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w:t>
            </w:r>
          </w:p>
        </w:tc>
        <w:tc>
          <w:tcPr>
            <w:tcW w:w="2054" w:type="pct"/>
            <w:vAlign w:val="center"/>
          </w:tcPr>
          <w:p w14:paraId="060177B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人员、车辆设备管理（5分）</w:t>
            </w:r>
          </w:p>
        </w:tc>
        <w:tc>
          <w:tcPr>
            <w:tcW w:w="292" w:type="pct"/>
            <w:vAlign w:val="center"/>
          </w:tcPr>
          <w:p w14:paraId="1A3E9B0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09" w:type="pct"/>
            <w:vAlign w:val="center"/>
          </w:tcPr>
          <w:p w14:paraId="0DA2AD7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636" w:type="pct"/>
            <w:vAlign w:val="center"/>
          </w:tcPr>
          <w:p w14:paraId="424DD21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76" w:type="pct"/>
            <w:vAlign w:val="center"/>
          </w:tcPr>
          <w:p w14:paraId="35CFC02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15" w:type="pct"/>
            <w:vAlign w:val="center"/>
          </w:tcPr>
          <w:p w14:paraId="1333F22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73" w:type="pct"/>
            <w:vMerge w:val="continue"/>
            <w:vAlign w:val="center"/>
          </w:tcPr>
          <w:p w14:paraId="41D8D98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65B0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39" w:type="pct"/>
            <w:vAlign w:val="center"/>
          </w:tcPr>
          <w:p w14:paraId="25019A7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w:t>
            </w:r>
          </w:p>
        </w:tc>
        <w:tc>
          <w:tcPr>
            <w:tcW w:w="2054" w:type="pct"/>
            <w:vAlign w:val="center"/>
          </w:tcPr>
          <w:p w14:paraId="1912718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各类交办案件处理及各级检查（5分）</w:t>
            </w:r>
          </w:p>
        </w:tc>
        <w:tc>
          <w:tcPr>
            <w:tcW w:w="292" w:type="pct"/>
            <w:vAlign w:val="center"/>
          </w:tcPr>
          <w:p w14:paraId="18159E5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09" w:type="pct"/>
            <w:vAlign w:val="center"/>
          </w:tcPr>
          <w:p w14:paraId="0A9DCD8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636" w:type="pct"/>
            <w:vAlign w:val="center"/>
          </w:tcPr>
          <w:p w14:paraId="74DB65F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76" w:type="pct"/>
            <w:vAlign w:val="center"/>
          </w:tcPr>
          <w:p w14:paraId="5C09886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15" w:type="pct"/>
            <w:vAlign w:val="center"/>
          </w:tcPr>
          <w:p w14:paraId="796D9FE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73" w:type="pct"/>
            <w:vMerge w:val="continue"/>
            <w:vAlign w:val="center"/>
          </w:tcPr>
          <w:p w14:paraId="1DC57AE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138D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39" w:type="pct"/>
            <w:vAlign w:val="center"/>
          </w:tcPr>
          <w:p w14:paraId="2D4BA89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w:t>
            </w:r>
          </w:p>
        </w:tc>
        <w:tc>
          <w:tcPr>
            <w:tcW w:w="2054" w:type="pct"/>
            <w:vAlign w:val="center"/>
          </w:tcPr>
          <w:p w14:paraId="6534F9F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农村社区园林绿化养护（5分）</w:t>
            </w:r>
          </w:p>
        </w:tc>
        <w:tc>
          <w:tcPr>
            <w:tcW w:w="292" w:type="pct"/>
            <w:vAlign w:val="center"/>
          </w:tcPr>
          <w:p w14:paraId="6822299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09" w:type="pct"/>
            <w:vAlign w:val="center"/>
          </w:tcPr>
          <w:p w14:paraId="4832F4C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636" w:type="pct"/>
            <w:vAlign w:val="center"/>
          </w:tcPr>
          <w:p w14:paraId="3CDA1FC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76" w:type="pct"/>
            <w:vAlign w:val="center"/>
          </w:tcPr>
          <w:p w14:paraId="7C7AC9F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15" w:type="pct"/>
            <w:vAlign w:val="center"/>
          </w:tcPr>
          <w:p w14:paraId="75A0347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73" w:type="pct"/>
            <w:vMerge w:val="continue"/>
            <w:vAlign w:val="center"/>
          </w:tcPr>
          <w:p w14:paraId="1ED02FC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099D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39" w:type="pct"/>
            <w:vAlign w:val="center"/>
          </w:tcPr>
          <w:p w14:paraId="52FFCF5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w:t>
            </w:r>
          </w:p>
        </w:tc>
        <w:tc>
          <w:tcPr>
            <w:tcW w:w="2054" w:type="pct"/>
            <w:vAlign w:val="center"/>
          </w:tcPr>
          <w:p w14:paraId="279EC7A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农村社区排水井盖管理与维护（5分）</w:t>
            </w:r>
          </w:p>
        </w:tc>
        <w:tc>
          <w:tcPr>
            <w:tcW w:w="292" w:type="pct"/>
            <w:vAlign w:val="center"/>
          </w:tcPr>
          <w:p w14:paraId="21D48D4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09" w:type="pct"/>
            <w:vAlign w:val="center"/>
          </w:tcPr>
          <w:p w14:paraId="17F16CA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636" w:type="pct"/>
            <w:vAlign w:val="center"/>
          </w:tcPr>
          <w:p w14:paraId="5D62348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76" w:type="pct"/>
            <w:vAlign w:val="center"/>
          </w:tcPr>
          <w:p w14:paraId="4C55E87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15" w:type="pct"/>
            <w:vAlign w:val="center"/>
          </w:tcPr>
          <w:p w14:paraId="3A85027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73" w:type="pct"/>
            <w:vMerge w:val="continue"/>
            <w:vAlign w:val="center"/>
          </w:tcPr>
          <w:p w14:paraId="355A24B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1F23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39" w:type="pct"/>
            <w:vAlign w:val="center"/>
          </w:tcPr>
          <w:p w14:paraId="0BF94C7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w:t>
            </w:r>
          </w:p>
        </w:tc>
        <w:tc>
          <w:tcPr>
            <w:tcW w:w="2054" w:type="pct"/>
            <w:vAlign w:val="center"/>
          </w:tcPr>
          <w:p w14:paraId="616C775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农村社区路灯管理与维护（5分）</w:t>
            </w:r>
          </w:p>
        </w:tc>
        <w:tc>
          <w:tcPr>
            <w:tcW w:w="292" w:type="pct"/>
            <w:vAlign w:val="center"/>
          </w:tcPr>
          <w:p w14:paraId="71854A9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09" w:type="pct"/>
            <w:vAlign w:val="center"/>
          </w:tcPr>
          <w:p w14:paraId="34BF8E9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636" w:type="pct"/>
            <w:vAlign w:val="center"/>
          </w:tcPr>
          <w:p w14:paraId="6E10BE6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76" w:type="pct"/>
            <w:vAlign w:val="center"/>
          </w:tcPr>
          <w:p w14:paraId="1519ED8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15" w:type="pct"/>
            <w:vAlign w:val="center"/>
          </w:tcPr>
          <w:p w14:paraId="1C7DB6E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73" w:type="pct"/>
            <w:vMerge w:val="continue"/>
            <w:vAlign w:val="center"/>
          </w:tcPr>
          <w:p w14:paraId="2C66C99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7C1B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39" w:type="pct"/>
            <w:vAlign w:val="center"/>
          </w:tcPr>
          <w:p w14:paraId="2132AE9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12</w:t>
            </w:r>
          </w:p>
        </w:tc>
        <w:tc>
          <w:tcPr>
            <w:tcW w:w="2054" w:type="pct"/>
            <w:vAlign w:val="center"/>
          </w:tcPr>
          <w:p w14:paraId="0A4A54D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乡村振兴工作指标落实（15分）</w:t>
            </w:r>
          </w:p>
        </w:tc>
        <w:tc>
          <w:tcPr>
            <w:tcW w:w="292" w:type="pct"/>
            <w:vAlign w:val="center"/>
          </w:tcPr>
          <w:p w14:paraId="35914F9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09" w:type="pct"/>
            <w:vAlign w:val="center"/>
          </w:tcPr>
          <w:p w14:paraId="133A782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636" w:type="pct"/>
            <w:vAlign w:val="center"/>
          </w:tcPr>
          <w:p w14:paraId="2D7157F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76" w:type="pct"/>
            <w:vAlign w:val="center"/>
          </w:tcPr>
          <w:p w14:paraId="1319E26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15" w:type="pct"/>
            <w:vAlign w:val="center"/>
          </w:tcPr>
          <w:p w14:paraId="5C1E0DE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c>
          <w:tcPr>
            <w:tcW w:w="473" w:type="pct"/>
            <w:vMerge w:val="continue"/>
            <w:vAlign w:val="center"/>
          </w:tcPr>
          <w:p w14:paraId="16E73C7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r w14:paraId="17D6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110" w:type="pct"/>
            <w:gridSpan w:val="6"/>
            <w:vAlign w:val="center"/>
          </w:tcPr>
          <w:p w14:paraId="7611715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合计</w:t>
            </w:r>
          </w:p>
        </w:tc>
        <w:tc>
          <w:tcPr>
            <w:tcW w:w="415" w:type="pct"/>
            <w:vAlign w:val="center"/>
          </w:tcPr>
          <w:p w14:paraId="2695E7B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0</w:t>
            </w:r>
          </w:p>
        </w:tc>
        <w:tc>
          <w:tcPr>
            <w:tcW w:w="473" w:type="pct"/>
            <w:vMerge w:val="continue"/>
            <w:vAlign w:val="center"/>
          </w:tcPr>
          <w:p w14:paraId="46E87CB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p>
        </w:tc>
      </w:tr>
    </w:tbl>
    <w:p w14:paraId="36D3047C">
      <w:pPr>
        <w:widowControl/>
        <w:snapToGrid w:val="0"/>
        <w:spacing w:line="360" w:lineRule="auto"/>
        <w:jc w:val="left"/>
        <w:rPr>
          <w:rFonts w:hint="eastAsia" w:ascii="仿宋" w:hAnsi="仿宋" w:eastAsia="仿宋"/>
          <w:color w:val="auto"/>
          <w:sz w:val="24"/>
          <w:highlight w:val="none"/>
        </w:rPr>
      </w:pPr>
    </w:p>
    <w:p w14:paraId="19AF7AC3">
      <w:pPr>
        <w:widowControl/>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验收结论：根据检查考核办法及质量验收标准，月检评分为    分，质量评定为    。</w:t>
      </w:r>
    </w:p>
    <w:tbl>
      <w:tblPr>
        <w:tblStyle w:val="23"/>
        <w:tblpPr w:leftFromText="180" w:rightFromText="180" w:vertAnchor="text" w:horzAnchor="page" w:tblpX="642" w:tblpY="208"/>
        <w:tblOverlap w:val="never"/>
        <w:tblW w:w="4998" w:type="pct"/>
        <w:tblInd w:w="0" w:type="dxa"/>
        <w:tblLayout w:type="autofit"/>
        <w:tblCellMar>
          <w:top w:w="0" w:type="dxa"/>
          <w:left w:w="108" w:type="dxa"/>
          <w:bottom w:w="0" w:type="dxa"/>
          <w:right w:w="108" w:type="dxa"/>
        </w:tblCellMar>
      </w:tblPr>
      <w:tblGrid>
        <w:gridCol w:w="2201"/>
        <w:gridCol w:w="663"/>
        <w:gridCol w:w="2006"/>
        <w:gridCol w:w="2420"/>
        <w:gridCol w:w="1120"/>
        <w:gridCol w:w="765"/>
        <w:gridCol w:w="783"/>
      </w:tblGrid>
      <w:tr w14:paraId="5D01BC1E">
        <w:tblPrEx>
          <w:tblCellMar>
            <w:top w:w="0" w:type="dxa"/>
            <w:left w:w="108" w:type="dxa"/>
            <w:bottom w:w="0" w:type="dxa"/>
            <w:right w:w="108" w:type="dxa"/>
          </w:tblCellMar>
        </w:tblPrEx>
        <w:trPr>
          <w:trHeight w:val="660" w:hRule="atLeast"/>
        </w:trPr>
        <w:tc>
          <w:tcPr>
            <w:tcW w:w="1105" w:type="pct"/>
            <w:tcBorders>
              <w:top w:val="nil"/>
              <w:left w:val="nil"/>
              <w:bottom w:val="nil"/>
              <w:right w:val="nil"/>
            </w:tcBorders>
          </w:tcPr>
          <w:p w14:paraId="671E2FE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被检查单位:</w:t>
            </w:r>
          </w:p>
        </w:tc>
        <w:tc>
          <w:tcPr>
            <w:tcW w:w="1339" w:type="pct"/>
            <w:gridSpan w:val="2"/>
            <w:tcBorders>
              <w:top w:val="nil"/>
              <w:left w:val="nil"/>
              <w:bottom w:val="nil"/>
              <w:right w:val="nil"/>
            </w:tcBorders>
          </w:tcPr>
          <w:p w14:paraId="1A5384A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1215" w:type="pct"/>
            <w:tcBorders>
              <w:top w:val="nil"/>
              <w:left w:val="nil"/>
              <w:bottom w:val="nil"/>
              <w:right w:val="nil"/>
            </w:tcBorders>
          </w:tcPr>
          <w:p w14:paraId="742D8A9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第三方监督单位:</w:t>
            </w:r>
          </w:p>
        </w:tc>
        <w:tc>
          <w:tcPr>
            <w:tcW w:w="1338" w:type="pct"/>
            <w:gridSpan w:val="3"/>
            <w:tcBorders>
              <w:top w:val="nil"/>
              <w:left w:val="nil"/>
              <w:bottom w:val="nil"/>
              <w:right w:val="nil"/>
            </w:tcBorders>
          </w:tcPr>
          <w:p w14:paraId="0E526C9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r>
      <w:tr w14:paraId="4FABD566">
        <w:trPr>
          <w:trHeight w:val="499" w:hRule="atLeast"/>
        </w:trPr>
        <w:tc>
          <w:tcPr>
            <w:tcW w:w="1105" w:type="pct"/>
            <w:tcBorders>
              <w:top w:val="nil"/>
              <w:left w:val="nil"/>
              <w:bottom w:val="nil"/>
              <w:right w:val="nil"/>
            </w:tcBorders>
            <w:vAlign w:val="center"/>
          </w:tcPr>
          <w:p w14:paraId="75C007A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负责人:</w:t>
            </w:r>
          </w:p>
        </w:tc>
        <w:tc>
          <w:tcPr>
            <w:tcW w:w="333" w:type="pct"/>
            <w:tcBorders>
              <w:top w:val="nil"/>
              <w:left w:val="nil"/>
              <w:bottom w:val="nil"/>
              <w:right w:val="nil"/>
            </w:tcBorders>
            <w:vAlign w:val="center"/>
          </w:tcPr>
          <w:p w14:paraId="44D0626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1005" w:type="pct"/>
            <w:tcBorders>
              <w:top w:val="nil"/>
              <w:left w:val="nil"/>
              <w:bottom w:val="nil"/>
              <w:right w:val="nil"/>
            </w:tcBorders>
            <w:vAlign w:val="center"/>
          </w:tcPr>
          <w:p w14:paraId="3CC11AB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1215" w:type="pct"/>
            <w:tcBorders>
              <w:top w:val="nil"/>
              <w:left w:val="nil"/>
              <w:bottom w:val="nil"/>
              <w:right w:val="nil"/>
            </w:tcBorders>
            <w:vAlign w:val="center"/>
          </w:tcPr>
          <w:p w14:paraId="7E7C3F5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监督人员:</w:t>
            </w:r>
          </w:p>
        </w:tc>
        <w:tc>
          <w:tcPr>
            <w:tcW w:w="945" w:type="pct"/>
            <w:gridSpan w:val="2"/>
            <w:tcBorders>
              <w:top w:val="nil"/>
              <w:left w:val="nil"/>
              <w:bottom w:val="nil"/>
              <w:right w:val="nil"/>
            </w:tcBorders>
            <w:vAlign w:val="center"/>
          </w:tcPr>
          <w:p w14:paraId="26EDE01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393" w:type="pct"/>
            <w:tcBorders>
              <w:top w:val="nil"/>
              <w:left w:val="nil"/>
              <w:bottom w:val="nil"/>
              <w:right w:val="nil"/>
            </w:tcBorders>
            <w:vAlign w:val="center"/>
          </w:tcPr>
          <w:p w14:paraId="0F3446C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r>
      <w:tr w14:paraId="04C6CC36">
        <w:trPr>
          <w:trHeight w:val="640" w:hRule="atLeast"/>
        </w:trPr>
        <w:tc>
          <w:tcPr>
            <w:tcW w:w="4222" w:type="pct"/>
            <w:gridSpan w:val="5"/>
            <w:tcBorders>
              <w:top w:val="nil"/>
              <w:left w:val="nil"/>
              <w:bottom w:val="nil"/>
              <w:right w:val="nil"/>
            </w:tcBorders>
            <w:vAlign w:val="center"/>
          </w:tcPr>
          <w:p w14:paraId="7102030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eastAsia="zh-CN"/>
              </w:rPr>
              <w:t>考核单位</w:t>
            </w:r>
            <w:r>
              <w:rPr>
                <w:rFonts w:hint="eastAsia" w:ascii="仿宋" w:hAnsi="仿宋" w:eastAsia="仿宋" w:cs="Times New Roman"/>
                <w:color w:val="auto"/>
                <w:sz w:val="24"/>
                <w:highlight w:val="none"/>
              </w:rPr>
              <w:t>:</w:t>
            </w:r>
          </w:p>
        </w:tc>
        <w:tc>
          <w:tcPr>
            <w:tcW w:w="384" w:type="pct"/>
            <w:tcBorders>
              <w:top w:val="nil"/>
              <w:left w:val="nil"/>
              <w:bottom w:val="nil"/>
              <w:right w:val="nil"/>
            </w:tcBorders>
            <w:vAlign w:val="center"/>
          </w:tcPr>
          <w:p w14:paraId="08A2CE0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393" w:type="pct"/>
            <w:tcBorders>
              <w:top w:val="nil"/>
              <w:left w:val="nil"/>
              <w:bottom w:val="nil"/>
              <w:right w:val="nil"/>
            </w:tcBorders>
            <w:vAlign w:val="center"/>
          </w:tcPr>
          <w:p w14:paraId="5329893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r>
      <w:tr w14:paraId="5EB71DB7">
        <w:tblPrEx>
          <w:tblCellMar>
            <w:top w:w="0" w:type="dxa"/>
            <w:left w:w="108" w:type="dxa"/>
            <w:bottom w:w="0" w:type="dxa"/>
            <w:right w:w="108" w:type="dxa"/>
          </w:tblCellMar>
        </w:tblPrEx>
        <w:trPr>
          <w:trHeight w:val="520" w:hRule="atLeast"/>
        </w:trPr>
        <w:tc>
          <w:tcPr>
            <w:tcW w:w="2445" w:type="pct"/>
            <w:gridSpan w:val="3"/>
            <w:tcBorders>
              <w:top w:val="nil"/>
              <w:left w:val="nil"/>
              <w:bottom w:val="nil"/>
              <w:right w:val="nil"/>
            </w:tcBorders>
            <w:vAlign w:val="center"/>
          </w:tcPr>
          <w:p w14:paraId="77E82C0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eastAsia="zh-CN"/>
              </w:rPr>
              <w:t>考核</w:t>
            </w:r>
            <w:r>
              <w:rPr>
                <w:rFonts w:hint="eastAsia" w:ascii="仿宋" w:hAnsi="仿宋" w:eastAsia="仿宋" w:cs="Times New Roman"/>
                <w:color w:val="auto"/>
                <w:sz w:val="24"/>
                <w:highlight w:val="none"/>
              </w:rPr>
              <w:t xml:space="preserve">人员:   </w:t>
            </w:r>
          </w:p>
        </w:tc>
        <w:tc>
          <w:tcPr>
            <w:tcW w:w="1215" w:type="pct"/>
            <w:tcBorders>
              <w:top w:val="nil"/>
              <w:left w:val="nil"/>
              <w:bottom w:val="nil"/>
              <w:right w:val="nil"/>
            </w:tcBorders>
            <w:vAlign w:val="center"/>
          </w:tcPr>
          <w:p w14:paraId="59F15B0D">
            <w:pPr>
              <w:keepNext w:val="0"/>
              <w:keepLines w:val="0"/>
              <w:widowControl/>
              <w:suppressLineNumbers w:val="0"/>
              <w:snapToGrid w:val="0"/>
              <w:spacing w:before="0" w:beforeAutospacing="0" w:after="0" w:afterAutospacing="0" w:line="360" w:lineRule="auto"/>
              <w:ind w:left="0" w:right="0" w:firstLine="0" w:firstLineChars="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领导审核：</w:t>
            </w:r>
          </w:p>
        </w:tc>
        <w:tc>
          <w:tcPr>
            <w:tcW w:w="561" w:type="pct"/>
            <w:tcBorders>
              <w:top w:val="nil"/>
              <w:left w:val="nil"/>
              <w:bottom w:val="nil"/>
              <w:right w:val="nil"/>
            </w:tcBorders>
            <w:vAlign w:val="center"/>
          </w:tcPr>
          <w:p w14:paraId="19F547C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384" w:type="pct"/>
            <w:tcBorders>
              <w:top w:val="nil"/>
              <w:left w:val="nil"/>
              <w:bottom w:val="nil"/>
              <w:right w:val="nil"/>
            </w:tcBorders>
            <w:vAlign w:val="center"/>
          </w:tcPr>
          <w:p w14:paraId="462A279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393" w:type="pct"/>
            <w:tcBorders>
              <w:top w:val="nil"/>
              <w:left w:val="nil"/>
              <w:bottom w:val="nil"/>
              <w:right w:val="nil"/>
            </w:tcBorders>
            <w:vAlign w:val="center"/>
          </w:tcPr>
          <w:p w14:paraId="43EA450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r>
    </w:tbl>
    <w:p w14:paraId="54F9F213">
      <w:pPr>
        <w:widowControl/>
        <w:snapToGrid w:val="0"/>
        <w:spacing w:line="360" w:lineRule="auto"/>
        <w:jc w:val="left"/>
        <w:rPr>
          <w:rFonts w:hint="eastAsia" w:ascii="仿宋" w:hAnsi="仿宋" w:eastAsia="仿宋"/>
          <w:color w:val="auto"/>
          <w:sz w:val="24"/>
          <w:highlight w:val="none"/>
        </w:rPr>
      </w:pPr>
    </w:p>
    <w:p w14:paraId="065F479A">
      <w:pPr>
        <w:widowControl/>
        <w:snapToGrid w:val="0"/>
        <w:spacing w:line="360" w:lineRule="auto"/>
        <w:ind w:firstLine="482" w:firstLineChars="200"/>
        <w:jc w:val="left"/>
        <w:rPr>
          <w:rFonts w:hint="eastAsia" w:ascii="仿宋" w:hAnsi="仿宋" w:eastAsia="仿宋" w:cs="Times New Roman"/>
          <w:b/>
          <w:bCs/>
          <w:color w:val="auto"/>
          <w:sz w:val="24"/>
          <w:highlight w:val="none"/>
          <w:lang w:val="en-US" w:eastAsia="zh-CN"/>
        </w:rPr>
      </w:pPr>
    </w:p>
    <w:p w14:paraId="7A000F39">
      <w:pPr>
        <w:pStyle w:val="6"/>
        <w:wordWrap w:val="0"/>
        <w:spacing w:line="360" w:lineRule="auto"/>
        <w:jc w:val="center"/>
        <w:rPr>
          <w:rFonts w:hint="eastAsia" w:ascii="宋体" w:hAnsi="宋体" w:cs="宋体"/>
          <w:b/>
          <w:color w:val="auto"/>
          <w:kern w:val="0"/>
          <w:sz w:val="28"/>
          <w:szCs w:val="28"/>
          <w:highlight w:val="none"/>
        </w:rPr>
      </w:pPr>
    </w:p>
    <w:p w14:paraId="1CED87B1">
      <w:pPr>
        <w:pStyle w:val="2"/>
        <w:rPr>
          <w:rFonts w:hint="eastAsia"/>
          <w:highlight w:val="none"/>
        </w:rPr>
      </w:pPr>
    </w:p>
    <w:p w14:paraId="6D07DEDB">
      <w:pPr>
        <w:wordWrap w:val="0"/>
        <w:rPr>
          <w:rFonts w:hint="eastAsia" w:ascii="仿宋" w:hAnsi="仿宋" w:eastAsia="仿宋" w:cs="仿宋"/>
          <w:color w:val="auto"/>
          <w:sz w:val="44"/>
          <w:highlight w:val="none"/>
          <w:lang w:val="zh-CN"/>
        </w:rPr>
      </w:pPr>
      <w:r>
        <w:rPr>
          <w:rFonts w:hint="eastAsia" w:ascii="仿宋" w:hAnsi="仿宋" w:eastAsia="仿宋" w:cs="仿宋"/>
          <w:color w:val="auto"/>
          <w:sz w:val="44"/>
          <w:highlight w:val="none"/>
          <w:lang w:val="zh-CN"/>
        </w:rPr>
        <w:br w:type="page"/>
      </w:r>
    </w:p>
    <w:p w14:paraId="56270F9B">
      <w:pPr>
        <w:wordWrap w:val="0"/>
        <w:rPr>
          <w:rFonts w:hint="eastAsia" w:ascii="仿宋" w:hAnsi="仿宋" w:eastAsia="仿宋" w:cs="仿宋"/>
          <w:color w:val="auto"/>
          <w:sz w:val="44"/>
          <w:highlight w:val="none"/>
          <w:lang w:val="zh-CN"/>
        </w:rPr>
      </w:pPr>
    </w:p>
    <w:p w14:paraId="3A1635EF">
      <w:pPr>
        <w:wordWrap w:val="0"/>
        <w:rPr>
          <w:rFonts w:hint="eastAsia" w:ascii="仿宋" w:hAnsi="仿宋" w:eastAsia="仿宋" w:cs="仿宋"/>
          <w:color w:val="auto"/>
          <w:sz w:val="44"/>
          <w:highlight w:val="none"/>
          <w:lang w:val="zh-CN"/>
        </w:rPr>
      </w:pPr>
    </w:p>
    <w:p w14:paraId="4F66480C">
      <w:pPr>
        <w:wordWrap w:val="0"/>
        <w:rPr>
          <w:rFonts w:ascii="仿宋" w:hAnsi="仿宋" w:eastAsia="仿宋" w:cs="仿宋"/>
          <w:color w:val="auto"/>
          <w:sz w:val="44"/>
          <w:highlight w:val="none"/>
          <w:lang w:val="zh-CN"/>
        </w:rPr>
      </w:pPr>
    </w:p>
    <w:p w14:paraId="1709D899">
      <w:pPr>
        <w:pStyle w:val="2"/>
        <w:keepNext w:val="0"/>
        <w:keepLines w:val="0"/>
        <w:wordWrap w:val="0"/>
        <w:adjustRightInd w:val="0"/>
        <w:snapToGrid w:val="0"/>
        <w:spacing w:line="360" w:lineRule="auto"/>
        <w:rPr>
          <w:rFonts w:hint="eastAsia" w:ascii="仿宋" w:hAnsi="仿宋" w:eastAsia="仿宋" w:cs="仿宋"/>
          <w:color w:val="auto"/>
          <w:sz w:val="44"/>
          <w:highlight w:val="none"/>
        </w:rPr>
      </w:pPr>
      <w:bookmarkStart w:id="33" w:name="_Toc12586"/>
      <w:bookmarkStart w:id="34" w:name="_Toc8018"/>
      <w:bookmarkStart w:id="35" w:name="_Toc8445"/>
      <w:r>
        <w:rPr>
          <w:rFonts w:hint="eastAsia" w:ascii="仿宋" w:hAnsi="仿宋" w:eastAsia="仿宋" w:cs="仿宋"/>
          <w:color w:val="auto"/>
          <w:sz w:val="44"/>
          <w:highlight w:val="none"/>
          <w:lang w:val="zh-CN"/>
        </w:rPr>
        <w:t>第三部分　</w:t>
      </w:r>
      <w:r>
        <w:rPr>
          <w:rFonts w:hint="eastAsia" w:ascii="仿宋" w:hAnsi="仿宋" w:eastAsia="仿宋" w:cs="仿宋"/>
          <w:color w:val="auto"/>
          <w:sz w:val="44"/>
          <w:highlight w:val="none"/>
          <w:lang w:eastAsia="zh-CN"/>
        </w:rPr>
        <w:t>投标人</w:t>
      </w:r>
      <w:r>
        <w:rPr>
          <w:rFonts w:hint="eastAsia" w:ascii="仿宋" w:hAnsi="仿宋" w:eastAsia="仿宋" w:cs="仿宋"/>
          <w:color w:val="auto"/>
          <w:sz w:val="44"/>
          <w:highlight w:val="none"/>
        </w:rPr>
        <w:t>须知</w:t>
      </w:r>
      <w:bookmarkEnd w:id="18"/>
      <w:bookmarkEnd w:id="19"/>
      <w:bookmarkEnd w:id="20"/>
      <w:bookmarkEnd w:id="21"/>
      <w:bookmarkEnd w:id="22"/>
      <w:bookmarkEnd w:id="23"/>
      <w:bookmarkEnd w:id="24"/>
      <w:bookmarkEnd w:id="25"/>
      <w:bookmarkEnd w:id="26"/>
      <w:bookmarkEnd w:id="27"/>
      <w:bookmarkEnd w:id="28"/>
      <w:bookmarkEnd w:id="29"/>
      <w:bookmarkEnd w:id="30"/>
      <w:bookmarkEnd w:id="33"/>
      <w:bookmarkEnd w:id="34"/>
      <w:bookmarkEnd w:id="35"/>
    </w:p>
    <w:p w14:paraId="7B65ED23">
      <w:pPr>
        <w:wordWrap w:val="0"/>
        <w:adjustRightInd w:val="0"/>
        <w:snapToGrid w:val="0"/>
        <w:spacing w:line="360" w:lineRule="auto"/>
        <w:rPr>
          <w:rFonts w:hint="eastAsia" w:ascii="仿宋" w:hAnsi="仿宋" w:eastAsia="仿宋" w:cs="仿宋"/>
          <w:b/>
          <w:bCs/>
          <w:color w:val="auto"/>
          <w:sz w:val="32"/>
          <w:highlight w:val="none"/>
        </w:rPr>
        <w:sectPr>
          <w:headerReference r:id="rId13" w:type="default"/>
          <w:pgSz w:w="11906" w:h="16838"/>
          <w:pgMar w:top="1440" w:right="1080" w:bottom="1440" w:left="1080" w:header="850" w:footer="992" w:gutter="0"/>
          <w:pgNumType w:fmt="decimal"/>
          <w:cols w:space="720" w:num="1"/>
          <w:titlePg/>
          <w:docGrid w:linePitch="462" w:charSpace="0"/>
        </w:sectPr>
      </w:pPr>
    </w:p>
    <w:p w14:paraId="50404DCA">
      <w:pPr>
        <w:wordWrap w:val="0"/>
        <w:adjustRightInd w:val="0"/>
        <w:snapToGrid w:val="0"/>
        <w:spacing w:line="360" w:lineRule="auto"/>
        <w:jc w:val="center"/>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lang w:eastAsia="zh-CN"/>
        </w:rPr>
        <w:t>投标人</w:t>
      </w:r>
      <w:r>
        <w:rPr>
          <w:rFonts w:hint="eastAsia" w:ascii="仿宋" w:hAnsi="仿宋" w:eastAsia="仿宋" w:cs="仿宋"/>
          <w:b/>
          <w:bCs/>
          <w:color w:val="auto"/>
          <w:sz w:val="32"/>
          <w:highlight w:val="none"/>
        </w:rPr>
        <w:t>须知前附表</w:t>
      </w:r>
    </w:p>
    <w:tbl>
      <w:tblPr>
        <w:tblStyle w:val="23"/>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3"/>
        <w:gridCol w:w="2078"/>
        <w:gridCol w:w="6857"/>
      </w:tblGrid>
      <w:tr w14:paraId="280A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jc w:val="center"/>
        </w:trPr>
        <w:tc>
          <w:tcPr>
            <w:tcW w:w="813" w:type="dxa"/>
            <w:shd w:val="clear" w:color="auto" w:fill="auto"/>
            <w:vAlign w:val="center"/>
          </w:tcPr>
          <w:p w14:paraId="61435642">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078" w:type="dxa"/>
            <w:shd w:val="clear" w:color="auto" w:fill="auto"/>
            <w:vAlign w:val="center"/>
          </w:tcPr>
          <w:p w14:paraId="23B41988">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事项</w:t>
            </w:r>
          </w:p>
        </w:tc>
        <w:tc>
          <w:tcPr>
            <w:tcW w:w="6857" w:type="dxa"/>
            <w:shd w:val="clear" w:color="auto" w:fill="auto"/>
            <w:vAlign w:val="center"/>
          </w:tcPr>
          <w:p w14:paraId="173BD237">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主  要  内  容</w:t>
            </w:r>
          </w:p>
        </w:tc>
      </w:tr>
      <w:tr w14:paraId="3C6D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13" w:type="dxa"/>
            <w:shd w:val="clear" w:color="auto" w:fill="auto"/>
            <w:vAlign w:val="center"/>
          </w:tcPr>
          <w:p w14:paraId="760FEC3C">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078" w:type="dxa"/>
            <w:shd w:val="clear" w:color="auto" w:fill="auto"/>
            <w:vAlign w:val="center"/>
          </w:tcPr>
          <w:p w14:paraId="3171D66E">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color w:val="auto"/>
                <w:spacing w:val="14"/>
                <w:sz w:val="24"/>
                <w:highlight w:val="none"/>
                <w:lang w:eastAsia="zh-CN"/>
              </w:rPr>
              <w:t>预算金额</w:t>
            </w:r>
          </w:p>
        </w:tc>
        <w:tc>
          <w:tcPr>
            <w:tcW w:w="6857" w:type="dxa"/>
            <w:shd w:val="clear" w:color="auto" w:fill="auto"/>
            <w:vAlign w:val="center"/>
          </w:tcPr>
          <w:p w14:paraId="6E27A770">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firstLine="0" w:firstLineChars="0"/>
              <w:jc w:val="center"/>
              <w:rPr>
                <w:rFonts w:hint="default" w:ascii="仿宋" w:hAnsi="仿宋" w:eastAsia="仿宋" w:cs="仿宋"/>
                <w:color w:val="auto"/>
                <w:sz w:val="24"/>
                <w:szCs w:val="24"/>
                <w:highlight w:val="none"/>
                <w:lang w:val="en-US"/>
              </w:rPr>
            </w:pPr>
            <w:r>
              <w:rPr>
                <w:rFonts w:hint="eastAsia" w:ascii="仿宋" w:hAnsi="仿宋" w:eastAsia="仿宋" w:cs="仿宋"/>
                <w:color w:val="auto"/>
                <w:spacing w:val="14"/>
                <w:sz w:val="24"/>
                <w:highlight w:val="none"/>
                <w:lang w:val="en-US" w:eastAsia="zh-CN"/>
              </w:rPr>
              <w:t>￥23,325,194.70元</w:t>
            </w:r>
          </w:p>
        </w:tc>
      </w:tr>
      <w:tr w14:paraId="7503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13" w:type="dxa"/>
            <w:shd w:val="clear" w:color="auto" w:fill="auto"/>
            <w:vAlign w:val="center"/>
          </w:tcPr>
          <w:p w14:paraId="018A075F">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2</w:t>
            </w:r>
          </w:p>
        </w:tc>
        <w:tc>
          <w:tcPr>
            <w:tcW w:w="2078" w:type="dxa"/>
            <w:shd w:val="clear" w:color="auto" w:fill="auto"/>
            <w:vAlign w:val="center"/>
          </w:tcPr>
          <w:p w14:paraId="02F6783D">
            <w:pPr>
              <w:keepNext w:val="0"/>
              <w:keepLines w:val="0"/>
              <w:pageBreakBefore w:val="0"/>
              <w:widowControl w:val="0"/>
              <w:suppressLineNumbers w:val="0"/>
              <w:kinsoku/>
              <w:wordWrap w:val="0"/>
              <w:overflowPunct/>
              <w:topLinePunct w:val="0"/>
              <w:autoSpaceDE w:val="0"/>
              <w:autoSpaceDN w:val="0"/>
              <w:bidi w:val="0"/>
              <w:spacing w:before="0" w:beforeAutospacing="0" w:after="0" w:afterAutospacing="0" w:line="360" w:lineRule="auto"/>
              <w:ind w:left="0" w:right="0"/>
              <w:jc w:val="center"/>
              <w:textAlignment w:val="auto"/>
              <w:rPr>
                <w:rFonts w:hint="eastAsia" w:ascii="仿宋" w:hAnsi="仿宋" w:eastAsia="仿宋" w:cs="仿宋"/>
                <w:color w:val="auto"/>
                <w:spacing w:val="14"/>
                <w:sz w:val="24"/>
                <w:highlight w:val="none"/>
                <w:lang w:eastAsia="zh-CN"/>
              </w:rPr>
            </w:pPr>
            <w:r>
              <w:rPr>
                <w:rFonts w:hint="eastAsia" w:ascii="仿宋" w:hAnsi="仿宋" w:eastAsia="仿宋" w:cs="仿宋"/>
                <w:color w:val="auto"/>
                <w:spacing w:val="14"/>
                <w:sz w:val="24"/>
                <w:highlight w:val="none"/>
                <w:lang w:val="en-US" w:eastAsia="zh-CN"/>
              </w:rPr>
              <w:t>投标最高限价</w:t>
            </w:r>
          </w:p>
        </w:tc>
        <w:tc>
          <w:tcPr>
            <w:tcW w:w="6857" w:type="dxa"/>
            <w:shd w:val="clear" w:color="auto" w:fill="auto"/>
            <w:vAlign w:val="center"/>
          </w:tcPr>
          <w:p w14:paraId="79115F42">
            <w:pPr>
              <w:keepNext w:val="0"/>
              <w:keepLines w:val="0"/>
              <w:pageBreakBefore w:val="0"/>
              <w:widowControl w:val="0"/>
              <w:suppressLineNumbers w:val="0"/>
              <w:kinsoku/>
              <w:wordWrap w:val="0"/>
              <w:overflowPunct/>
              <w:topLinePunct w:val="0"/>
              <w:autoSpaceDE w:val="0"/>
              <w:autoSpaceDN w:val="0"/>
              <w:bidi w:val="0"/>
              <w:spacing w:before="0" w:beforeAutospacing="0" w:after="0" w:afterAutospacing="0" w:line="360" w:lineRule="auto"/>
              <w:ind w:left="0" w:right="0" w:firstLine="0" w:firstLineChars="0"/>
              <w:jc w:val="center"/>
              <w:textAlignment w:val="auto"/>
              <w:rPr>
                <w:rFonts w:hint="eastAsia" w:ascii="仿宋" w:hAnsi="仿宋" w:eastAsia="仿宋" w:cs="仿宋"/>
                <w:color w:val="auto"/>
                <w:spacing w:val="14"/>
                <w:sz w:val="24"/>
                <w:highlight w:val="none"/>
                <w:lang w:val="en-US" w:eastAsia="zh-CN"/>
              </w:rPr>
            </w:pPr>
            <w:r>
              <w:rPr>
                <w:rFonts w:hint="eastAsia" w:ascii="仿宋" w:hAnsi="仿宋" w:eastAsia="仿宋" w:cs="仿宋"/>
                <w:color w:val="auto"/>
                <w:spacing w:val="14"/>
                <w:sz w:val="24"/>
                <w:highlight w:val="none"/>
                <w:lang w:val="en-US" w:eastAsia="zh-CN"/>
              </w:rPr>
              <w:t>￥20,759,423.30元</w:t>
            </w:r>
          </w:p>
        </w:tc>
      </w:tr>
      <w:tr w14:paraId="6024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3" w:type="dxa"/>
            <w:shd w:val="clear" w:color="auto" w:fill="auto"/>
            <w:vAlign w:val="center"/>
          </w:tcPr>
          <w:p w14:paraId="08647A9F">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val="en-US" w:eastAsia="zh-CN" w:bidi="ar"/>
              </w:rPr>
              <w:t>4</w:t>
            </w:r>
          </w:p>
        </w:tc>
        <w:tc>
          <w:tcPr>
            <w:tcW w:w="2078" w:type="dxa"/>
            <w:shd w:val="clear" w:color="auto" w:fill="auto"/>
            <w:vAlign w:val="center"/>
          </w:tcPr>
          <w:p w14:paraId="0565AC20">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投标保证金</w:t>
            </w:r>
            <w:r>
              <w:rPr>
                <w:rFonts w:hint="eastAsia" w:ascii="仿宋" w:hAnsi="仿宋" w:eastAsia="仿宋" w:cs="仿宋"/>
                <w:b/>
                <w:bCs/>
                <w:color w:val="auto"/>
                <w:sz w:val="24"/>
                <w:szCs w:val="24"/>
                <w:highlight w:val="none"/>
                <w:lang w:val="en-US" w:eastAsia="zh-CN"/>
              </w:rPr>
              <w:t>要求</w:t>
            </w:r>
          </w:p>
        </w:tc>
        <w:tc>
          <w:tcPr>
            <w:tcW w:w="6857" w:type="dxa"/>
            <w:shd w:val="clear" w:color="auto" w:fill="auto"/>
            <w:vAlign w:val="center"/>
          </w:tcPr>
          <w:p w14:paraId="16EB15C7">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一、本项目需要交纳</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rPr>
              <w:t>，金额为人民币</w:t>
            </w:r>
            <w:r>
              <w:rPr>
                <w:rFonts w:hint="eastAsia" w:ascii="仿宋" w:hAnsi="仿宋" w:eastAsia="仿宋" w:cs="仿宋"/>
                <w:color w:val="auto"/>
                <w:sz w:val="24"/>
                <w:szCs w:val="24"/>
                <w:highlight w:val="none"/>
                <w:lang w:val="en-US" w:eastAsia="zh-CN"/>
              </w:rPr>
              <w:t>150,000.00</w:t>
            </w:r>
            <w:r>
              <w:rPr>
                <w:rFonts w:hint="eastAsia" w:ascii="仿宋" w:hAnsi="仿宋" w:eastAsia="仿宋" w:cs="仿宋"/>
                <w:color w:val="auto"/>
                <w:sz w:val="24"/>
                <w:szCs w:val="24"/>
                <w:highlight w:val="none"/>
              </w:rPr>
              <w:t>元。</w:t>
            </w:r>
          </w:p>
          <w:p w14:paraId="08E7E226">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rPr>
              <w:t>提交形式：以转账形式提交</w:t>
            </w:r>
            <w:r>
              <w:rPr>
                <w:rFonts w:hint="eastAsia" w:ascii="仿宋" w:hAnsi="仿宋" w:eastAsia="仿宋" w:cs="仿宋"/>
                <w:color w:val="auto"/>
                <w:sz w:val="24"/>
                <w:szCs w:val="24"/>
                <w:highlight w:val="none"/>
                <w:lang w:eastAsia="zh-CN"/>
              </w:rPr>
              <w:t>。</w:t>
            </w:r>
          </w:p>
          <w:p w14:paraId="199B3024">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1、投标人应按要求将投标保证金一次性汇入以下账户：</w:t>
            </w:r>
          </w:p>
          <w:p w14:paraId="46E9B1A9">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开户单位：广东宏正工程咨询有限公司</w:t>
            </w:r>
          </w:p>
          <w:p w14:paraId="4FB49DCA">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开户账号：9550880002277300187</w:t>
            </w:r>
          </w:p>
          <w:p w14:paraId="775FE190">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开户银行：广发银行佛山南海桂城支行</w:t>
            </w:r>
          </w:p>
          <w:p w14:paraId="495D3AFF">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转账的投标保证金</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达</w:t>
            </w:r>
            <w:r>
              <w:rPr>
                <w:rFonts w:hint="eastAsia" w:ascii="仿宋" w:hAnsi="仿宋" w:eastAsia="仿宋" w:cs="仿宋"/>
                <w:color w:val="auto"/>
                <w:sz w:val="24"/>
                <w:szCs w:val="24"/>
                <w:highlight w:val="none"/>
              </w:rPr>
              <w:t>账截止</w:t>
            </w:r>
            <w:r>
              <w:rPr>
                <w:rFonts w:hint="eastAsia" w:ascii="仿宋" w:hAnsi="仿宋" w:eastAsia="仿宋" w:cs="仿宋"/>
                <w:color w:val="auto"/>
                <w:sz w:val="24"/>
                <w:szCs w:val="24"/>
                <w:highlight w:val="none"/>
                <w:lang w:val="en-US" w:eastAsia="zh-CN"/>
              </w:rPr>
              <w:t>时间</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提交投标文件截止时间，</w:t>
            </w:r>
          </w:p>
          <w:p w14:paraId="3F7149A1">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rPr>
              <w:t>有效期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投标有效期</w:t>
            </w:r>
            <w:r>
              <w:rPr>
                <w:rFonts w:hint="eastAsia" w:ascii="仿宋" w:hAnsi="仿宋" w:eastAsia="仿宋" w:cs="仿宋"/>
                <w:color w:val="auto"/>
                <w:sz w:val="24"/>
                <w:szCs w:val="24"/>
                <w:highlight w:val="none"/>
              </w:rPr>
              <w:t>一致。</w:t>
            </w:r>
          </w:p>
          <w:p w14:paraId="712D24C8">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提交的</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rPr>
              <w:t>应符合</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要求方为</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有效，因</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未按上述要求提交</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rPr>
              <w:t>而导致</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无效或不能</w:t>
            </w:r>
            <w:r>
              <w:rPr>
                <w:rFonts w:hint="eastAsia" w:ascii="仿宋" w:hAnsi="仿宋" w:eastAsia="仿宋" w:cs="仿宋"/>
                <w:color w:val="auto"/>
                <w:sz w:val="24"/>
                <w:szCs w:val="24"/>
                <w:highlight w:val="none"/>
                <w:lang w:eastAsia="zh-CN"/>
              </w:rPr>
              <w:t>参加投标</w:t>
            </w:r>
            <w:r>
              <w:rPr>
                <w:rFonts w:hint="eastAsia" w:ascii="仿宋" w:hAnsi="仿宋" w:eastAsia="仿宋" w:cs="仿宋"/>
                <w:color w:val="auto"/>
                <w:sz w:val="24"/>
                <w:szCs w:val="24"/>
                <w:highlight w:val="none"/>
              </w:rPr>
              <w:t>，其后果由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自负。</w:t>
            </w:r>
          </w:p>
          <w:p w14:paraId="6086DD03">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三、凡没有按照本须知规定随附有效的</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，应视为非响应性</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予以作为无效</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处理。</w:t>
            </w:r>
          </w:p>
          <w:p w14:paraId="4D5607CD">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rPr>
              <w:t>的退回</w:t>
            </w:r>
          </w:p>
          <w:p w14:paraId="2D38D431">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1、自</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发出之日起5个工作日内全额无息退还未</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rPr>
              <w:t>；</w:t>
            </w:r>
          </w:p>
          <w:p w14:paraId="563A86F9">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w:t>
            </w:r>
            <w:r>
              <w:rPr>
                <w:rFonts w:hint="eastAsia" w:ascii="仿宋" w:hAnsi="仿宋" w:eastAsia="仿宋" w:cs="仿宋"/>
                <w:color w:val="auto"/>
                <w:sz w:val="24"/>
                <w:szCs w:val="24"/>
                <w:highlight w:val="none"/>
                <w:lang w:eastAsia="zh-CN"/>
              </w:rPr>
              <w:t>合同书</w:t>
            </w:r>
            <w:r>
              <w:rPr>
                <w:rFonts w:hint="eastAsia" w:ascii="仿宋" w:hAnsi="仿宋" w:eastAsia="仿宋" w:cs="仿宋"/>
                <w:color w:val="auto"/>
                <w:sz w:val="24"/>
                <w:szCs w:val="24"/>
                <w:highlight w:val="none"/>
              </w:rPr>
              <w:t>签订后5个工作日内全额无息退还</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rPr>
              <w:t>。</w:t>
            </w:r>
          </w:p>
          <w:p w14:paraId="1D348ACA">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注：但因</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自身原因导致无法及时退还的除外。</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签订合同后，请及时向</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告知合同签订情况并提交双方盖章的合同复印件或</w:t>
            </w:r>
            <w:r>
              <w:rPr>
                <w:rFonts w:hint="eastAsia" w:ascii="仿宋" w:hAnsi="仿宋" w:eastAsia="仿宋" w:cs="仿宋"/>
                <w:color w:val="auto"/>
                <w:sz w:val="24"/>
                <w:szCs w:val="24"/>
                <w:highlight w:val="none"/>
                <w:lang w:eastAsia="zh-CN"/>
              </w:rPr>
              <w:t>复印件</w:t>
            </w:r>
            <w:r>
              <w:rPr>
                <w:rFonts w:hint="eastAsia" w:ascii="仿宋" w:hAnsi="仿宋" w:eastAsia="仿宋" w:cs="仿宋"/>
                <w:color w:val="auto"/>
                <w:sz w:val="24"/>
                <w:szCs w:val="24"/>
                <w:highlight w:val="none"/>
              </w:rPr>
              <w:t>，因</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耽搁提交合同复印件或</w:t>
            </w:r>
            <w:r>
              <w:rPr>
                <w:rFonts w:hint="eastAsia" w:ascii="仿宋" w:hAnsi="仿宋" w:eastAsia="仿宋" w:cs="仿宋"/>
                <w:color w:val="auto"/>
                <w:sz w:val="24"/>
                <w:szCs w:val="24"/>
                <w:highlight w:val="none"/>
                <w:lang w:eastAsia="zh-CN"/>
              </w:rPr>
              <w:t>复印件</w:t>
            </w:r>
            <w:r>
              <w:rPr>
                <w:rFonts w:hint="eastAsia" w:ascii="仿宋" w:hAnsi="仿宋" w:eastAsia="仿宋" w:cs="仿宋"/>
                <w:color w:val="auto"/>
                <w:sz w:val="24"/>
                <w:szCs w:val="24"/>
                <w:highlight w:val="none"/>
              </w:rPr>
              <w:t>，造成</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rPr>
              <w:t>的退还时间超过五个工作日的，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不承担延后退还的责任。</w:t>
            </w:r>
          </w:p>
        </w:tc>
      </w:tr>
      <w:tr w14:paraId="56AE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shd w:val="clear" w:color="auto" w:fill="auto"/>
            <w:vAlign w:val="center"/>
          </w:tcPr>
          <w:p w14:paraId="07E40B1D">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val="en-US" w:eastAsia="zh-CN" w:bidi="ar"/>
              </w:rPr>
              <w:t>5</w:t>
            </w:r>
          </w:p>
        </w:tc>
        <w:tc>
          <w:tcPr>
            <w:tcW w:w="2078" w:type="dxa"/>
            <w:shd w:val="clear" w:color="auto" w:fill="auto"/>
            <w:vAlign w:val="center"/>
          </w:tcPr>
          <w:p w14:paraId="60A7D40C">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代理服务费</w:t>
            </w:r>
          </w:p>
        </w:tc>
        <w:tc>
          <w:tcPr>
            <w:tcW w:w="6857" w:type="dxa"/>
            <w:shd w:val="clear" w:color="auto" w:fill="auto"/>
            <w:vAlign w:val="center"/>
          </w:tcPr>
          <w:p w14:paraId="2FFF2641">
            <w:pPr>
              <w:keepNext w:val="0"/>
              <w:keepLines w:val="0"/>
              <w:suppressLineNumbers w:val="0"/>
              <w:shd w:val="clear" w:color="auto" w:fill="auto"/>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中标人应按要求和规定的金额在收到中标通知3日内向采购代理机构交纳中标服务费。中标人中标后根据采购代理机构发出的《中标服务费收费通知书》要求支付中标服务费。凭中标服务费发票或缴款证明材料到采购代理机构指定地点领取《中标通知书》。</w:t>
            </w:r>
          </w:p>
          <w:p w14:paraId="28DAFB03">
            <w:pPr>
              <w:keepNext w:val="0"/>
              <w:keepLines w:val="0"/>
              <w:suppressLineNumbers w:val="0"/>
              <w:shd w:val="clear" w:color="auto" w:fill="auto"/>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中标服务费币种为人民币。收费按《招标代理服务收费管理暂行办法》[2002]（1980）收费标准的50%进行计算。</w:t>
            </w:r>
          </w:p>
          <w:p w14:paraId="25058A49">
            <w:pPr>
              <w:keepNext w:val="0"/>
              <w:keepLines w:val="0"/>
              <w:suppressLineNumbers w:val="0"/>
              <w:shd w:val="clear" w:color="auto" w:fill="auto"/>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（1）以</w:t>
            </w:r>
            <w:r>
              <w:rPr>
                <w:rFonts w:hint="eastAsia" w:ascii="仿宋" w:hAnsi="仿宋" w:eastAsia="仿宋" w:cs="仿宋"/>
                <w:sz w:val="24"/>
                <w:highlight w:val="none"/>
                <w:lang w:eastAsia="zh-CN"/>
              </w:rPr>
              <w:t>中标</w:t>
            </w:r>
            <w:r>
              <w:rPr>
                <w:rFonts w:hint="eastAsia" w:ascii="仿宋" w:hAnsi="仿宋" w:eastAsia="仿宋" w:cs="仿宋"/>
                <w:sz w:val="24"/>
                <w:highlight w:val="none"/>
              </w:rPr>
              <w:t>金额作为收费的计算基数，按差额定率累进法计算。</w:t>
            </w:r>
          </w:p>
          <w:p w14:paraId="6250BD86">
            <w:pPr>
              <w:keepNext w:val="0"/>
              <w:keepLines w:val="0"/>
              <w:suppressLineNumbers w:val="0"/>
              <w:shd w:val="clear" w:color="auto" w:fill="auto"/>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（2）《招标代理服务收费管理暂行办法》[2002]（1980）收费标准如下：</w:t>
            </w:r>
          </w:p>
          <w:tbl>
            <w:tblPr>
              <w:tblStyle w:val="23"/>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018"/>
              <w:gridCol w:w="2592"/>
            </w:tblGrid>
            <w:tr w14:paraId="0E91A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039" w:type="pct"/>
                  <w:noWrap w:val="0"/>
                  <w:vAlign w:val="top"/>
                </w:tcPr>
                <w:p w14:paraId="577C86E1">
                  <w:pPr>
                    <w:pStyle w:val="6"/>
                    <w:keepNext w:val="0"/>
                    <w:keepLines w:val="0"/>
                    <w:suppressLineNumbers w:val="0"/>
                    <w:shd w:val="clear" w:color="auto" w:fill="auto"/>
                    <w:snapToGrid w:val="0"/>
                    <w:spacing w:before="0" w:beforeAutospacing="0" w:after="0" w:afterAutospacing="0" w:line="360" w:lineRule="auto"/>
                    <w:ind w:left="0" w:right="0" w:firstLine="2520" w:firstLineChars="1050"/>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-34925</wp:posOffset>
                            </wp:positionH>
                            <wp:positionV relativeFrom="paragraph">
                              <wp:posOffset>32385</wp:posOffset>
                            </wp:positionV>
                            <wp:extent cx="2517140" cy="558800"/>
                            <wp:effectExtent l="1270" t="4445" r="15240" b="8255"/>
                            <wp:wrapNone/>
                            <wp:docPr id="6" name="直接连接符 6"/>
                            <wp:cNvGraphicFramePr/>
                            <a:graphic xmlns:a="http://schemas.openxmlformats.org/drawingml/2006/main">
                              <a:graphicData uri="http://schemas.microsoft.com/office/word/2010/wordprocessingShape">
                                <wps:wsp>
                                  <wps:cNvCnPr/>
                                  <wps:spPr>
                                    <a:xfrm>
                                      <a:off x="0" y="0"/>
                                      <a:ext cx="2517140" cy="5588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5pt;margin-top:2.55pt;height:44pt;width:198.2pt;z-index:251667456;mso-width-relative:page;mso-height-relative:page;" filled="f" stroked="t" coordsize="21600,21600" o:gfxdata="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g5yyNUAAAAHAQAADwAAAAAAAAABACAAAAAiAAAAZHJzL2Rvd25yZXYueG1s&#10;UEsBAhQAFAAAAAgAh07iQDZq0bv7AQAA6QMAAA4AAAAAAAAAAQAgAAAAJAEAAGRycy9lMm9Eb2Mu&#10;eG1sUEsFBgAAAAAGAAYAWQEAAJEFAAAAAA==&#10;">
                            <v:fill on="f" focussize="0,0"/>
                            <v:stroke color="#000000" joinstyle="round"/>
                            <v:imagedata o:title=""/>
                            <o:lock v:ext="edit" aspectratio="f"/>
                          </v:line>
                        </w:pict>
                      </mc:Fallback>
                    </mc:AlternateContent>
                  </w:r>
                  <w:r>
                    <w:rPr>
                      <w:rFonts w:hint="eastAsia" w:ascii="仿宋" w:hAnsi="仿宋" w:eastAsia="仿宋" w:cs="仿宋"/>
                      <w:bCs/>
                      <w:sz w:val="24"/>
                      <w:szCs w:val="24"/>
                      <w:highlight w:val="none"/>
                    </w:rPr>
                    <w:t>费率</w:t>
                  </w:r>
                </w:p>
                <w:p w14:paraId="1BFFD4F2">
                  <w:pPr>
                    <w:pStyle w:val="6"/>
                    <w:keepNext w:val="0"/>
                    <w:keepLines w:val="0"/>
                    <w:suppressLineNumbers w:val="0"/>
                    <w:shd w:val="clear" w:color="auto" w:fill="auto"/>
                    <w:snapToGrid w:val="0"/>
                    <w:spacing w:before="0" w:beforeAutospacing="0" w:after="0" w:afterAutospacing="0" w:line="360" w:lineRule="auto"/>
                    <w:ind w:left="0" w:right="0"/>
                    <w:rPr>
                      <w:rFonts w:hint="eastAsia" w:ascii="仿宋" w:hAnsi="仿宋" w:eastAsia="仿宋" w:cs="仿宋"/>
                      <w:sz w:val="24"/>
                      <w:szCs w:val="24"/>
                      <w:highlight w:val="none"/>
                    </w:rPr>
                  </w:pPr>
                  <w:r>
                    <w:rPr>
                      <w:rFonts w:hint="eastAsia" w:ascii="仿宋" w:hAnsi="仿宋" w:eastAsia="仿宋" w:cs="仿宋"/>
                      <w:bCs/>
                      <w:sz w:val="24"/>
                      <w:szCs w:val="24"/>
                      <w:highlight w:val="none"/>
                    </w:rPr>
                    <w:t>中标金额</w:t>
                  </w:r>
                </w:p>
              </w:tc>
              <w:tc>
                <w:tcPr>
                  <w:tcW w:w="1960" w:type="pct"/>
                  <w:noWrap w:val="0"/>
                  <w:vAlign w:val="center"/>
                </w:tcPr>
                <w:p w14:paraId="11334242">
                  <w:pPr>
                    <w:pStyle w:val="6"/>
                    <w:keepNext w:val="0"/>
                    <w:keepLines w:val="0"/>
                    <w:suppressLineNumbers w:val="0"/>
                    <w:shd w:val="clear" w:color="auto" w:fill="auto"/>
                    <w:snapToGrid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Cs/>
                      <w:sz w:val="24"/>
                      <w:szCs w:val="24"/>
                      <w:highlight w:val="none"/>
                    </w:rPr>
                    <w:t>服务招标</w:t>
                  </w:r>
                </w:p>
              </w:tc>
            </w:tr>
            <w:tr w14:paraId="3E1F5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3039" w:type="pct"/>
                  <w:noWrap w:val="0"/>
                  <w:vAlign w:val="center"/>
                </w:tcPr>
                <w:p w14:paraId="54F1C9D1">
                  <w:pPr>
                    <w:pStyle w:val="6"/>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100万元以下</w:t>
                  </w:r>
                </w:p>
              </w:tc>
              <w:tc>
                <w:tcPr>
                  <w:tcW w:w="1960" w:type="pct"/>
                  <w:noWrap w:val="0"/>
                  <w:vAlign w:val="center"/>
                </w:tcPr>
                <w:p w14:paraId="317B98C9">
                  <w:pPr>
                    <w:pStyle w:val="6"/>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r>
            <w:tr w14:paraId="27DA0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3039" w:type="pct"/>
                  <w:noWrap w:val="0"/>
                  <w:vAlign w:val="center"/>
                </w:tcPr>
                <w:p w14:paraId="0D0FFD56">
                  <w:pPr>
                    <w:pStyle w:val="6"/>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100～500万元</w:t>
                  </w:r>
                </w:p>
              </w:tc>
              <w:tc>
                <w:tcPr>
                  <w:tcW w:w="1960" w:type="pct"/>
                  <w:noWrap w:val="0"/>
                  <w:vAlign w:val="center"/>
                </w:tcPr>
                <w:p w14:paraId="05BBA601">
                  <w:pPr>
                    <w:pStyle w:val="6"/>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0.8%</w:t>
                  </w:r>
                </w:p>
              </w:tc>
            </w:tr>
            <w:tr w14:paraId="6528E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3039" w:type="pct"/>
                  <w:noWrap w:val="0"/>
                  <w:vAlign w:val="center"/>
                </w:tcPr>
                <w:p w14:paraId="77E9C1A2">
                  <w:pPr>
                    <w:pStyle w:val="6"/>
                    <w:keepNext w:val="0"/>
                    <w:keepLines w:val="0"/>
                    <w:suppressLineNumbers w:val="0"/>
                    <w:shd w:val="clear" w:color="auto" w:fill="auto"/>
                    <w:spacing w:before="0" w:beforeAutospacing="0" w:after="0" w:afterAutospacing="0" w:line="360" w:lineRule="auto"/>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500万元</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1000万元</w:t>
                  </w:r>
                </w:p>
              </w:tc>
              <w:tc>
                <w:tcPr>
                  <w:tcW w:w="1960" w:type="pct"/>
                  <w:noWrap w:val="0"/>
                  <w:vAlign w:val="center"/>
                </w:tcPr>
                <w:p w14:paraId="6E29B95B">
                  <w:pPr>
                    <w:pStyle w:val="6"/>
                    <w:keepNext w:val="0"/>
                    <w:keepLines w:val="0"/>
                    <w:suppressLineNumbers w:val="0"/>
                    <w:shd w:val="clear" w:color="auto" w:fill="auto"/>
                    <w:spacing w:before="0" w:beforeAutospacing="0" w:after="0" w:afterAutospacing="0" w:line="360" w:lineRule="auto"/>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0.45%</w:t>
                  </w:r>
                </w:p>
              </w:tc>
            </w:tr>
            <w:tr w14:paraId="21144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3039" w:type="pct"/>
                  <w:noWrap w:val="0"/>
                  <w:vAlign w:val="center"/>
                </w:tcPr>
                <w:p w14:paraId="2F762B27">
                  <w:pPr>
                    <w:pStyle w:val="6"/>
                    <w:keepNext w:val="0"/>
                    <w:keepLines w:val="0"/>
                    <w:suppressLineNumbers w:val="0"/>
                    <w:shd w:val="clear" w:color="auto" w:fill="auto"/>
                    <w:spacing w:before="0" w:beforeAutospacing="0" w:after="0" w:afterAutospacing="0" w:line="360" w:lineRule="auto"/>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1000万元</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5000万元</w:t>
                  </w:r>
                </w:p>
              </w:tc>
              <w:tc>
                <w:tcPr>
                  <w:tcW w:w="1960" w:type="pct"/>
                  <w:noWrap w:val="0"/>
                  <w:vAlign w:val="center"/>
                </w:tcPr>
                <w:p w14:paraId="089E63A8">
                  <w:pPr>
                    <w:pStyle w:val="6"/>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0.25%</w:t>
                  </w:r>
                </w:p>
              </w:tc>
            </w:tr>
          </w:tbl>
          <w:p w14:paraId="0E80589A">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sz w:val="24"/>
                <w:highlight w:val="none"/>
              </w:rPr>
              <w:t>（3）以上标准计算得出的金额为本项目的中标服务费金额。</w:t>
            </w:r>
          </w:p>
        </w:tc>
      </w:tr>
      <w:tr w14:paraId="7447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shd w:val="clear" w:color="auto" w:fill="auto"/>
            <w:vAlign w:val="center"/>
          </w:tcPr>
          <w:p w14:paraId="5E52CD75">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val="en-US" w:eastAsia="zh-CN" w:bidi="ar"/>
              </w:rPr>
              <w:t>6</w:t>
            </w:r>
          </w:p>
        </w:tc>
        <w:tc>
          <w:tcPr>
            <w:tcW w:w="2078" w:type="dxa"/>
            <w:shd w:val="clear" w:color="auto" w:fill="auto"/>
            <w:vAlign w:val="center"/>
          </w:tcPr>
          <w:p w14:paraId="7F4D1F20">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GB"/>
              </w:rPr>
              <w:t>统一结算</w:t>
            </w:r>
            <w:r>
              <w:rPr>
                <w:rFonts w:hint="eastAsia" w:ascii="仿宋" w:hAnsi="仿宋" w:eastAsia="仿宋" w:cs="仿宋"/>
                <w:b/>
                <w:bCs/>
                <w:color w:val="auto"/>
                <w:sz w:val="24"/>
                <w:szCs w:val="24"/>
                <w:highlight w:val="none"/>
              </w:rPr>
              <w:t>币种</w:t>
            </w:r>
          </w:p>
        </w:tc>
        <w:tc>
          <w:tcPr>
            <w:tcW w:w="6857" w:type="dxa"/>
            <w:shd w:val="clear" w:color="auto" w:fill="auto"/>
            <w:vAlign w:val="center"/>
          </w:tcPr>
          <w:p w14:paraId="7D286412">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均不计息，以人民币元结算。</w:t>
            </w:r>
          </w:p>
        </w:tc>
      </w:tr>
      <w:tr w14:paraId="6C5D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13" w:type="dxa"/>
            <w:shd w:val="clear" w:color="auto" w:fill="auto"/>
            <w:vAlign w:val="center"/>
          </w:tcPr>
          <w:p w14:paraId="542AEE75">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val="en-US" w:eastAsia="zh-CN" w:bidi="ar"/>
              </w:rPr>
              <w:t>7</w:t>
            </w:r>
          </w:p>
        </w:tc>
        <w:tc>
          <w:tcPr>
            <w:tcW w:w="2078" w:type="dxa"/>
            <w:shd w:val="clear" w:color="auto" w:fill="auto"/>
            <w:vAlign w:val="center"/>
          </w:tcPr>
          <w:p w14:paraId="5E541F38">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投标有效期</w:t>
            </w:r>
          </w:p>
        </w:tc>
        <w:tc>
          <w:tcPr>
            <w:tcW w:w="6857" w:type="dxa"/>
            <w:shd w:val="clear" w:color="auto" w:fill="auto"/>
            <w:vAlign w:val="center"/>
          </w:tcPr>
          <w:p w14:paraId="081AE682">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投标有效期</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提交投标文件截止时间</w:t>
            </w:r>
            <w:r>
              <w:rPr>
                <w:rFonts w:hint="eastAsia" w:ascii="仿宋" w:hAnsi="仿宋" w:eastAsia="仿宋" w:cs="仿宋"/>
                <w:color w:val="auto"/>
                <w:sz w:val="24"/>
                <w:szCs w:val="24"/>
                <w:highlight w:val="none"/>
              </w:rPr>
              <w:t>起满90日历日。</w:t>
            </w:r>
            <w:r>
              <w:rPr>
                <w:rFonts w:hint="eastAsia" w:ascii="仿宋" w:hAnsi="仿宋" w:eastAsia="仿宋" w:cs="仿宋"/>
                <w:color w:val="auto"/>
                <w:sz w:val="24"/>
                <w:szCs w:val="24"/>
                <w:highlight w:val="none"/>
                <w:lang w:eastAsia="zh-CN"/>
              </w:rPr>
              <w:t>投标有效期</w:t>
            </w:r>
            <w:r>
              <w:rPr>
                <w:rFonts w:hint="eastAsia" w:ascii="仿宋" w:hAnsi="仿宋" w:eastAsia="仿宋" w:cs="仿宋"/>
                <w:color w:val="auto"/>
                <w:sz w:val="24"/>
                <w:szCs w:val="24"/>
                <w:highlight w:val="none"/>
              </w:rPr>
              <w:t>不足的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，将被视为无效</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w:t>
            </w:r>
          </w:p>
        </w:tc>
      </w:tr>
      <w:tr w14:paraId="1852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3" w:type="dxa"/>
            <w:shd w:val="clear" w:color="auto" w:fill="auto"/>
            <w:vAlign w:val="center"/>
          </w:tcPr>
          <w:p w14:paraId="21F6AF37">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val="en-US" w:eastAsia="zh-CN" w:bidi="ar"/>
              </w:rPr>
              <w:t>8</w:t>
            </w:r>
          </w:p>
        </w:tc>
        <w:tc>
          <w:tcPr>
            <w:tcW w:w="2078" w:type="dxa"/>
            <w:shd w:val="clear" w:color="auto" w:fill="auto"/>
            <w:vAlign w:val="center"/>
          </w:tcPr>
          <w:p w14:paraId="3D0B4C8A">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投标文件</w:t>
            </w:r>
            <w:r>
              <w:rPr>
                <w:rFonts w:hint="eastAsia" w:ascii="仿宋" w:hAnsi="仿宋" w:eastAsia="仿宋" w:cs="仿宋"/>
                <w:b/>
                <w:bCs/>
                <w:color w:val="auto"/>
                <w:sz w:val="24"/>
                <w:highlight w:val="none"/>
              </w:rPr>
              <w:t>数量</w:t>
            </w:r>
          </w:p>
        </w:tc>
        <w:tc>
          <w:tcPr>
            <w:tcW w:w="6857" w:type="dxa"/>
            <w:shd w:val="clear" w:color="auto" w:fill="auto"/>
            <w:vAlign w:val="center"/>
          </w:tcPr>
          <w:p w14:paraId="56D9F7C0">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eastAsia="zh-CN"/>
              </w:rPr>
              <w:t>投标文件</w:t>
            </w:r>
            <w:r>
              <w:rPr>
                <w:rFonts w:hint="eastAsia" w:ascii="仿宋" w:hAnsi="仿宋" w:eastAsia="仿宋" w:cs="仿宋"/>
                <w:b/>
                <w:bCs/>
                <w:color w:val="auto"/>
                <w:sz w:val="24"/>
                <w:highlight w:val="none"/>
              </w:rPr>
              <w:t>一式</w:t>
            </w:r>
            <w:r>
              <w:rPr>
                <w:rFonts w:hint="eastAsia" w:ascii="仿宋" w:hAnsi="仿宋" w:eastAsia="仿宋" w:cs="仿宋"/>
                <w:b/>
                <w:bCs/>
                <w:color w:val="auto"/>
                <w:sz w:val="24"/>
                <w:highlight w:val="none"/>
                <w:lang w:eastAsia="zh-CN"/>
              </w:rPr>
              <w:t>七</w:t>
            </w:r>
            <w:r>
              <w:rPr>
                <w:rFonts w:hint="eastAsia" w:ascii="仿宋" w:hAnsi="仿宋" w:eastAsia="仿宋" w:cs="仿宋"/>
                <w:b/>
                <w:bCs/>
                <w:color w:val="auto"/>
                <w:sz w:val="24"/>
                <w:highlight w:val="none"/>
              </w:rPr>
              <w:t>份（其中，正本一份和副本</w:t>
            </w:r>
            <w:r>
              <w:rPr>
                <w:rFonts w:hint="eastAsia" w:ascii="仿宋" w:hAnsi="仿宋" w:eastAsia="仿宋" w:cs="仿宋"/>
                <w:b/>
                <w:bCs/>
                <w:color w:val="auto"/>
                <w:sz w:val="24"/>
                <w:highlight w:val="none"/>
                <w:lang w:eastAsia="zh-CN"/>
              </w:rPr>
              <w:t>六</w:t>
            </w:r>
            <w:r>
              <w:rPr>
                <w:rFonts w:hint="eastAsia" w:ascii="仿宋" w:hAnsi="仿宋" w:eastAsia="仿宋" w:cs="仿宋"/>
                <w:b/>
                <w:bCs/>
                <w:color w:val="auto"/>
                <w:sz w:val="24"/>
                <w:highlight w:val="none"/>
              </w:rPr>
              <w:t>份）</w:t>
            </w:r>
            <w:r>
              <w:rPr>
                <w:rFonts w:hint="eastAsia" w:ascii="仿宋" w:hAnsi="仿宋" w:eastAsia="仿宋" w:cs="仿宋"/>
                <w:color w:val="auto"/>
                <w:sz w:val="24"/>
                <w:highlight w:val="none"/>
              </w:rPr>
              <w:t>，开标一览表一份，电子光盘或U盘一份（内容应与</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正本内容一致。不留密码，无病毒，不压缩。除提供的图片及相关扫描文件为图片格式或PDF格式外，其他内容应保留EXCEL 格式或WORD 文档等可编辑格式文件。如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中标，部分内容将用于结果公告公布，电子文件与纸质文件内容不同，以盖章的纸质文件正本为准）。</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的每份文件分别固定装订成册（不得采用活页形式），并在文件封面上清楚地标明“正本”或“副本”字样。</w:t>
            </w:r>
          </w:p>
        </w:tc>
      </w:tr>
      <w:tr w14:paraId="14BD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shd w:val="clear" w:color="auto" w:fill="auto"/>
            <w:vAlign w:val="center"/>
          </w:tcPr>
          <w:p w14:paraId="30C002F7">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val="en-US" w:eastAsia="zh-CN" w:bidi="ar"/>
              </w:rPr>
              <w:t>9</w:t>
            </w:r>
          </w:p>
        </w:tc>
        <w:tc>
          <w:tcPr>
            <w:tcW w:w="2078" w:type="dxa"/>
            <w:shd w:val="clear" w:color="auto" w:fill="auto"/>
            <w:vAlign w:val="center"/>
          </w:tcPr>
          <w:p w14:paraId="1176BE17">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评审方法</w:t>
            </w:r>
          </w:p>
        </w:tc>
        <w:tc>
          <w:tcPr>
            <w:tcW w:w="6857" w:type="dxa"/>
            <w:shd w:val="clear" w:color="auto" w:fill="auto"/>
            <w:vAlign w:val="center"/>
          </w:tcPr>
          <w:p w14:paraId="37934079">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w:t>
            </w:r>
          </w:p>
        </w:tc>
      </w:tr>
      <w:tr w14:paraId="7FB1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shd w:val="clear" w:color="auto" w:fill="auto"/>
            <w:vAlign w:val="center"/>
          </w:tcPr>
          <w:p w14:paraId="6279C4B5">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val="en-US" w:eastAsia="zh-CN" w:bidi="ar"/>
              </w:rPr>
              <w:t>10</w:t>
            </w:r>
          </w:p>
        </w:tc>
        <w:tc>
          <w:tcPr>
            <w:tcW w:w="2078" w:type="dxa"/>
            <w:shd w:val="clear" w:color="auto" w:fill="auto"/>
            <w:vAlign w:val="center"/>
          </w:tcPr>
          <w:p w14:paraId="50AF8231">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eastAsia="zh-CN"/>
              </w:rPr>
              <w:t>中标候选人</w:t>
            </w:r>
            <w:r>
              <w:rPr>
                <w:rFonts w:hint="eastAsia" w:ascii="仿宋" w:hAnsi="仿宋" w:eastAsia="仿宋" w:cs="仿宋"/>
                <w:b/>
                <w:bCs/>
                <w:color w:val="auto"/>
                <w:sz w:val="24"/>
                <w:szCs w:val="24"/>
                <w:highlight w:val="none"/>
              </w:rPr>
              <w:t>推荐家数</w:t>
            </w:r>
          </w:p>
        </w:tc>
        <w:tc>
          <w:tcPr>
            <w:tcW w:w="6857" w:type="dxa"/>
            <w:shd w:val="clear" w:color="auto" w:fill="auto"/>
            <w:vAlign w:val="center"/>
          </w:tcPr>
          <w:p w14:paraId="44D594D8">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家</w:t>
            </w:r>
          </w:p>
        </w:tc>
      </w:tr>
      <w:tr w14:paraId="74E4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shd w:val="clear" w:color="auto" w:fill="auto"/>
            <w:vAlign w:val="center"/>
          </w:tcPr>
          <w:p w14:paraId="5AE97EAF">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default"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11</w:t>
            </w:r>
          </w:p>
        </w:tc>
        <w:tc>
          <w:tcPr>
            <w:tcW w:w="2078" w:type="dxa"/>
            <w:shd w:val="clear" w:color="auto" w:fill="auto"/>
            <w:vAlign w:val="center"/>
          </w:tcPr>
          <w:p w14:paraId="4DD87096">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中标人</w:t>
            </w:r>
            <w:r>
              <w:rPr>
                <w:rFonts w:hint="eastAsia" w:ascii="仿宋" w:hAnsi="仿宋" w:eastAsia="仿宋" w:cs="仿宋"/>
                <w:b/>
                <w:bCs/>
                <w:color w:val="auto"/>
                <w:sz w:val="24"/>
                <w:szCs w:val="24"/>
                <w:highlight w:val="none"/>
              </w:rPr>
              <w:t>数量</w:t>
            </w:r>
          </w:p>
        </w:tc>
        <w:tc>
          <w:tcPr>
            <w:tcW w:w="6857" w:type="dxa"/>
            <w:shd w:val="clear" w:color="auto" w:fill="auto"/>
            <w:vAlign w:val="center"/>
          </w:tcPr>
          <w:p w14:paraId="3B4FE1B5">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left"/>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1家</w:t>
            </w:r>
          </w:p>
        </w:tc>
      </w:tr>
      <w:tr w14:paraId="4915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3" w:type="dxa"/>
            <w:shd w:val="clear" w:color="auto" w:fill="auto"/>
            <w:vAlign w:val="center"/>
          </w:tcPr>
          <w:p w14:paraId="5A1422A2">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default"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12</w:t>
            </w:r>
          </w:p>
        </w:tc>
        <w:tc>
          <w:tcPr>
            <w:tcW w:w="2078" w:type="dxa"/>
            <w:shd w:val="clear" w:color="auto" w:fill="auto"/>
            <w:vAlign w:val="center"/>
          </w:tcPr>
          <w:p w14:paraId="07692262">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有效</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家数</w:t>
            </w:r>
          </w:p>
        </w:tc>
        <w:tc>
          <w:tcPr>
            <w:tcW w:w="6857" w:type="dxa"/>
            <w:shd w:val="clear" w:color="auto" w:fill="auto"/>
            <w:vAlign w:val="center"/>
          </w:tcPr>
          <w:p w14:paraId="4031C31F">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left"/>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3家。此人数约定了开标与评标过程中的最低有效</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lang w:val="en-US" w:eastAsia="zh-CN"/>
              </w:rPr>
              <w:t>数量</w:t>
            </w:r>
            <w:r>
              <w:rPr>
                <w:rFonts w:hint="eastAsia" w:ascii="仿宋" w:hAnsi="仿宋" w:eastAsia="仿宋" w:cs="仿宋"/>
                <w:color w:val="auto"/>
                <w:sz w:val="24"/>
                <w:szCs w:val="24"/>
                <w:highlight w:val="none"/>
              </w:rPr>
              <w:t>，当</w:t>
            </w:r>
            <w:r>
              <w:rPr>
                <w:rFonts w:hint="eastAsia" w:ascii="仿宋" w:hAnsi="仿宋" w:eastAsia="仿宋" w:cs="仿宋"/>
                <w:color w:val="auto"/>
                <w:sz w:val="24"/>
                <w:szCs w:val="24"/>
                <w:highlight w:val="none"/>
                <w:lang w:val="en-US" w:eastAsia="zh-CN"/>
              </w:rPr>
              <w:t>数量</w:t>
            </w:r>
            <w:r>
              <w:rPr>
                <w:rFonts w:hint="eastAsia" w:ascii="仿宋" w:hAnsi="仿宋" w:eastAsia="仿宋" w:cs="仿宋"/>
                <w:color w:val="auto"/>
                <w:sz w:val="24"/>
                <w:szCs w:val="24"/>
                <w:highlight w:val="none"/>
              </w:rPr>
              <w:t>不足时项目将不得开标、不得评标或直接废标。</w:t>
            </w:r>
          </w:p>
        </w:tc>
      </w:tr>
      <w:tr w14:paraId="3BA6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3" w:type="dxa"/>
            <w:shd w:val="clear" w:color="auto" w:fill="auto"/>
            <w:vAlign w:val="center"/>
          </w:tcPr>
          <w:p w14:paraId="362D05FD">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val="en-US" w:eastAsia="zh-CN" w:bidi="ar"/>
              </w:rPr>
              <w:t>13</w:t>
            </w:r>
          </w:p>
        </w:tc>
        <w:tc>
          <w:tcPr>
            <w:tcW w:w="2078" w:type="dxa"/>
            <w:shd w:val="clear" w:color="auto" w:fill="auto"/>
            <w:vAlign w:val="center"/>
          </w:tcPr>
          <w:p w14:paraId="1F05182B">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现场考察或者开标前答疑会</w:t>
            </w:r>
          </w:p>
        </w:tc>
        <w:tc>
          <w:tcPr>
            <w:tcW w:w="6857" w:type="dxa"/>
            <w:shd w:val="clear" w:color="auto" w:fill="auto"/>
            <w:vAlign w:val="center"/>
          </w:tcPr>
          <w:p w14:paraId="570A750D">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不举行 </w:t>
            </w:r>
          </w:p>
        </w:tc>
      </w:tr>
      <w:tr w14:paraId="5B52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3" w:type="dxa"/>
            <w:shd w:val="clear" w:color="auto" w:fill="auto"/>
            <w:vAlign w:val="center"/>
          </w:tcPr>
          <w:p w14:paraId="63064F42">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w:t>
            </w:r>
            <w:r>
              <w:rPr>
                <w:rFonts w:hint="eastAsia" w:ascii="仿宋" w:hAnsi="仿宋" w:eastAsia="仿宋" w:cs="仿宋"/>
                <w:color w:val="auto"/>
                <w:kern w:val="0"/>
                <w:sz w:val="24"/>
                <w:highlight w:val="none"/>
                <w:lang w:val="en-US" w:eastAsia="zh-CN" w:bidi="ar"/>
              </w:rPr>
              <w:t>4</w:t>
            </w:r>
          </w:p>
        </w:tc>
        <w:tc>
          <w:tcPr>
            <w:tcW w:w="2078" w:type="dxa"/>
            <w:shd w:val="clear" w:color="auto" w:fill="auto"/>
            <w:vAlign w:val="center"/>
          </w:tcPr>
          <w:p w14:paraId="44A30BB2">
            <w:pPr>
              <w:pStyle w:val="75"/>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有效通知载体</w:t>
            </w:r>
          </w:p>
        </w:tc>
        <w:tc>
          <w:tcPr>
            <w:tcW w:w="6857" w:type="dxa"/>
            <w:shd w:val="clear" w:color="auto" w:fill="auto"/>
            <w:vAlign w:val="center"/>
          </w:tcPr>
          <w:p w14:paraId="4D1E74CB">
            <w:pPr>
              <w:pStyle w:val="75"/>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left"/>
              <w:rPr>
                <w:rFonts w:hint="eastAsia" w:ascii="仿宋" w:hAnsi="仿宋" w:eastAsia="仿宋" w:cs="仿宋"/>
                <w:color w:val="auto"/>
                <w:highlight w:val="none"/>
              </w:rPr>
            </w:pPr>
            <w:r>
              <w:rPr>
                <w:rFonts w:hint="eastAsia" w:ascii="仿宋" w:hAnsi="仿宋" w:eastAsia="仿宋" w:cs="仿宋"/>
                <w:color w:val="auto"/>
                <w:highlight w:val="none"/>
              </w:rPr>
              <w:t>本项目相关信息和内容一经在项目公告网站发布，视作已送达所有</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，并对</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具有约束力。</w:t>
            </w:r>
          </w:p>
          <w:p w14:paraId="30011358">
            <w:pPr>
              <w:pStyle w:val="75"/>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left"/>
              <w:rPr>
                <w:rFonts w:hint="eastAsia" w:ascii="仿宋" w:hAnsi="仿宋" w:eastAsia="仿宋" w:cs="仿宋"/>
                <w:color w:val="auto"/>
                <w:highlight w:val="none"/>
              </w:rPr>
            </w:pP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须及时登录相关网站获取与本</w:t>
            </w:r>
            <w:r>
              <w:rPr>
                <w:rFonts w:hint="eastAsia" w:ascii="仿宋" w:hAnsi="仿宋" w:eastAsia="仿宋" w:cs="仿宋"/>
                <w:color w:val="auto"/>
                <w:highlight w:val="none"/>
                <w:lang w:eastAsia="zh-CN"/>
              </w:rPr>
              <w:t>采购项目</w:t>
            </w:r>
            <w:r>
              <w:rPr>
                <w:rFonts w:hint="eastAsia" w:ascii="仿宋" w:hAnsi="仿宋" w:eastAsia="仿宋" w:cs="仿宋"/>
                <w:color w:val="auto"/>
                <w:highlight w:val="none"/>
              </w:rPr>
              <w:t>相关的所有信息。</w:t>
            </w:r>
          </w:p>
        </w:tc>
      </w:tr>
      <w:tr w14:paraId="246A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3" w:type="dxa"/>
            <w:shd w:val="clear" w:color="auto" w:fill="auto"/>
            <w:vAlign w:val="center"/>
          </w:tcPr>
          <w:p w14:paraId="2DBB0CF7">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default"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15</w:t>
            </w:r>
          </w:p>
        </w:tc>
        <w:tc>
          <w:tcPr>
            <w:tcW w:w="2078" w:type="dxa"/>
            <w:shd w:val="clear" w:color="auto" w:fill="auto"/>
            <w:vAlign w:val="center"/>
          </w:tcPr>
          <w:p w14:paraId="73768548">
            <w:pPr>
              <w:pStyle w:val="75"/>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highlight w:val="none"/>
                <w:lang w:eastAsia="zh-CN"/>
              </w:rPr>
              <w:t>监督管理单位信息</w:t>
            </w:r>
          </w:p>
        </w:tc>
        <w:tc>
          <w:tcPr>
            <w:tcW w:w="6857" w:type="dxa"/>
            <w:shd w:val="clear" w:color="auto" w:fill="auto"/>
            <w:vAlign w:val="center"/>
          </w:tcPr>
          <w:p w14:paraId="5F8F4099">
            <w:pPr>
              <w:keepNext w:val="0"/>
              <w:keepLines w:val="0"/>
              <w:suppressLineNumbers w:val="0"/>
              <w:shd w:val="clear" w:color="auto" w:fill="auto"/>
              <w:spacing w:before="0" w:beforeAutospacing="0" w:after="0" w:afterAutospacing="0" w:line="400" w:lineRule="exact"/>
              <w:ind w:left="0" w:right="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单位名称：佛山市南海区桂城街道农业农村办公室</w:t>
            </w:r>
          </w:p>
          <w:p w14:paraId="0DA68126">
            <w:pPr>
              <w:keepNext w:val="0"/>
              <w:keepLines w:val="0"/>
              <w:suppressLineNumbers w:val="0"/>
              <w:shd w:val="clear" w:color="auto" w:fill="auto"/>
              <w:spacing w:before="0" w:beforeAutospacing="0" w:after="0" w:afterAutospacing="0" w:line="400" w:lineRule="exact"/>
              <w:ind w:left="0" w:right="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联系人：谭小姐</w:t>
            </w:r>
          </w:p>
          <w:p w14:paraId="1E6B67E2">
            <w:pPr>
              <w:keepNext w:val="0"/>
              <w:keepLines w:val="0"/>
              <w:suppressLineNumbers w:val="0"/>
              <w:shd w:val="clear" w:color="auto" w:fill="auto"/>
              <w:spacing w:before="0" w:beforeAutospacing="0" w:after="0" w:afterAutospacing="0" w:line="400" w:lineRule="exact"/>
              <w:ind w:left="0" w:right="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联系电话：0757-81813825</w:t>
            </w:r>
          </w:p>
          <w:p w14:paraId="465D390A">
            <w:pPr>
              <w:keepNext w:val="0"/>
              <w:keepLines w:val="0"/>
              <w:suppressLineNumbers w:val="0"/>
              <w:shd w:val="clear" w:color="auto" w:fill="auto"/>
              <w:spacing w:before="0" w:beforeAutospacing="0" w:after="0" w:afterAutospacing="0" w:line="400" w:lineRule="exact"/>
              <w:ind w:left="0" w:right="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联系地址：广东省佛山市南海区南港路10号</w:t>
            </w:r>
          </w:p>
        </w:tc>
      </w:tr>
    </w:tbl>
    <w:p w14:paraId="0D381B91">
      <w:pPr>
        <w:pStyle w:val="12"/>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仿宋" w:hAnsi="仿宋" w:eastAsia="仿宋" w:cs="仿宋"/>
          <w:b/>
          <w:color w:val="auto"/>
          <w:sz w:val="24"/>
          <w:szCs w:val="24"/>
          <w:highlight w:val="none"/>
        </w:rPr>
      </w:pPr>
      <w:r>
        <w:rPr>
          <w:rStyle w:val="43"/>
          <w:rFonts w:hint="eastAsia" w:ascii="仿宋" w:hAnsi="仿宋" w:eastAsia="仿宋" w:cs="仿宋"/>
          <w:color w:val="auto"/>
          <w:highlight w:val="none"/>
        </w:rPr>
        <w:t>一、说  明</w:t>
      </w:r>
    </w:p>
    <w:p w14:paraId="3B361460">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1.适用范围</w:t>
      </w:r>
    </w:p>
    <w:p w14:paraId="20D2C36C">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GB"/>
        </w:rPr>
        <w:t>本</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适用于</w:t>
      </w:r>
      <w:r>
        <w:rPr>
          <w:rFonts w:hint="eastAsia" w:ascii="仿宋" w:hAnsi="仿宋" w:eastAsia="仿宋" w:cs="仿宋"/>
          <w:color w:val="auto"/>
          <w:sz w:val="24"/>
          <w:szCs w:val="24"/>
          <w:highlight w:val="none"/>
          <w:lang w:val="en-GB" w:eastAsia="zh-CN"/>
        </w:rPr>
        <w:t>投标邀请函</w:t>
      </w:r>
      <w:r>
        <w:rPr>
          <w:rFonts w:hint="eastAsia" w:ascii="仿宋" w:hAnsi="仿宋" w:eastAsia="仿宋" w:cs="仿宋"/>
          <w:color w:val="auto"/>
          <w:sz w:val="24"/>
          <w:szCs w:val="24"/>
          <w:highlight w:val="none"/>
          <w:lang w:val="en-GB"/>
        </w:rPr>
        <w:t>中所述项目的采购。本次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val="en-GB"/>
        </w:rPr>
        <w:t>参照的主要法律法规为《中华人民共和国民法典》及其他相关法规。</w:t>
      </w:r>
    </w:p>
    <w:p w14:paraId="224B857E">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2.定义</w:t>
      </w:r>
    </w:p>
    <w:p w14:paraId="1C50A6A4">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2.1</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：是指广东宏正工程咨询有限公司，是根据</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的委托，依法组织实施整个</w:t>
      </w:r>
      <w:r>
        <w:rPr>
          <w:rFonts w:hint="eastAsia" w:ascii="仿宋" w:hAnsi="仿宋" w:eastAsia="仿宋" w:cs="仿宋"/>
          <w:color w:val="auto"/>
          <w:sz w:val="24"/>
          <w:szCs w:val="24"/>
          <w:highlight w:val="none"/>
          <w:lang w:val="en-GB" w:eastAsia="zh-CN"/>
        </w:rPr>
        <w:t>采购活动</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不以任何身份出任评审委员会成员。</w:t>
      </w:r>
    </w:p>
    <w:p w14:paraId="34FAC4C7">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2.2</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：是指</w:t>
      </w:r>
      <w:r>
        <w:rPr>
          <w:rFonts w:hint="eastAsia" w:ascii="仿宋" w:hAnsi="仿宋" w:eastAsia="仿宋" w:cs="仿宋"/>
          <w:color w:val="auto"/>
          <w:sz w:val="24"/>
          <w:szCs w:val="24"/>
          <w:highlight w:val="none"/>
          <w:lang w:val="en-GB" w:eastAsia="zh-CN"/>
        </w:rPr>
        <w:t>佛山市南海区桂城街叠南社区居民委员会</w:t>
      </w:r>
      <w:r>
        <w:rPr>
          <w:rFonts w:hint="eastAsia" w:ascii="仿宋" w:hAnsi="仿宋" w:eastAsia="仿宋" w:cs="仿宋"/>
          <w:color w:val="auto"/>
          <w:sz w:val="24"/>
          <w:szCs w:val="24"/>
          <w:highlight w:val="none"/>
          <w:lang w:val="en-GB"/>
        </w:rPr>
        <w:t>。</w:t>
      </w:r>
    </w:p>
    <w:p w14:paraId="51E0A625">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2.3</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GB"/>
        </w:rPr>
        <w:t>）：指接受本次</w:t>
      </w:r>
      <w:r>
        <w:rPr>
          <w:rFonts w:hint="eastAsia" w:ascii="仿宋" w:hAnsi="仿宋" w:eastAsia="仿宋" w:cs="仿宋"/>
          <w:color w:val="auto"/>
          <w:sz w:val="24"/>
          <w:szCs w:val="24"/>
          <w:highlight w:val="none"/>
          <w:lang w:val="en-GB" w:eastAsia="zh-CN"/>
        </w:rPr>
        <w:t>采购活动投标邀请</w:t>
      </w:r>
      <w:r>
        <w:rPr>
          <w:rFonts w:hint="eastAsia" w:ascii="仿宋" w:hAnsi="仿宋" w:eastAsia="仿宋" w:cs="仿宋"/>
          <w:color w:val="auto"/>
          <w:sz w:val="24"/>
          <w:szCs w:val="24"/>
          <w:highlight w:val="none"/>
          <w:lang w:val="en-GB"/>
        </w:rPr>
        <w:t>，并按要求递交了</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的法人或者其他组织、自然人。</w:t>
      </w:r>
    </w:p>
    <w:p w14:paraId="34941F8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2.4</w:t>
      </w:r>
      <w:r>
        <w:rPr>
          <w:rFonts w:hint="eastAsia" w:ascii="仿宋" w:hAnsi="仿宋" w:eastAsia="仿宋" w:cs="仿宋"/>
          <w:color w:val="auto"/>
          <w:sz w:val="24"/>
          <w:szCs w:val="24"/>
          <w:highlight w:val="none"/>
          <w:lang w:val="en-GB" w:eastAsia="zh-CN"/>
        </w:rPr>
        <w:t>中标人</w:t>
      </w:r>
      <w:r>
        <w:rPr>
          <w:rFonts w:hint="eastAsia" w:ascii="仿宋" w:hAnsi="仿宋" w:eastAsia="仿宋" w:cs="仿宋"/>
          <w:color w:val="auto"/>
          <w:sz w:val="24"/>
          <w:szCs w:val="24"/>
          <w:highlight w:val="none"/>
          <w:lang w:val="en-GB"/>
        </w:rPr>
        <w:t>：是指经法定程序确定并授予合同的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w:t>
      </w:r>
    </w:p>
    <w:p w14:paraId="0D6CB70C">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3.合格的货物和服务</w:t>
      </w:r>
    </w:p>
    <w:p w14:paraId="5318CA39">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3.1 “货物”是指</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GB"/>
        </w:rPr>
        <w:t>制造或组织符合</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要求的货物等。</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GB"/>
        </w:rPr>
        <w:t>综合考虑节能、节水、环保、循环、低碳、再生、有机等因素。货物必须是其合法生产的符合货物来源地有关标准要求的货物，并满足</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规定的规格、参数、质量、价格、有效期、售后服务等要求。</w:t>
      </w:r>
    </w:p>
    <w:p w14:paraId="7C329288">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3.2 “服务”是指除货物和工程以外的其他采购对象，“合格的服务”是指</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GB"/>
        </w:rPr>
        <w:t>按</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的规定，依据中华人民共和国的相关法律、法规、规章以及相关国家标准、行业标准或地方（或企业）标准（如有）的规定或规范要求，向</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提供满足</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规定的需求或特定目标的服务。</w:t>
      </w:r>
    </w:p>
    <w:p w14:paraId="6DD3CEF0">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3.3</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须保证，</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在中华人民共和国接受和使用</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所提供服务的全部或任何一部分时，或者在享有合同的全部或部分权益时，免受第三方以侵犯其合法权益（例如侵犯其专利权、商标权、著作权或其他知识产权等）而提出的任何求偿责任起诉。否则，</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须承担</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与此相关的一切损失（包括且不限于：诉讼费、律师费、经裁定由</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承担的任何费用、导致</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需重新采购所产生的一切费用及时间费用损失等）。</w:t>
      </w:r>
    </w:p>
    <w:p w14:paraId="04FA5D6F">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color w:val="auto"/>
          <w:highlight w:val="none"/>
          <w:lang w:val="en-US" w:eastAsia="zh-CN"/>
        </w:rPr>
        <w:t>投标</w:t>
      </w:r>
      <w:r>
        <w:rPr>
          <w:rFonts w:hint="eastAsia" w:ascii="仿宋" w:hAnsi="仿宋" w:eastAsia="仿宋" w:cs="仿宋"/>
          <w:color w:val="auto"/>
          <w:highlight w:val="none"/>
        </w:rPr>
        <w:t>费用</w:t>
      </w:r>
    </w:p>
    <w:p w14:paraId="14207A8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4.1</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应承担所有与准备和</w:t>
      </w:r>
      <w:r>
        <w:rPr>
          <w:rFonts w:hint="eastAsia" w:ascii="仿宋" w:hAnsi="仿宋" w:eastAsia="仿宋" w:cs="仿宋"/>
          <w:color w:val="auto"/>
          <w:sz w:val="24"/>
          <w:szCs w:val="24"/>
          <w:highlight w:val="none"/>
          <w:lang w:val="en-GB" w:eastAsia="zh-CN"/>
        </w:rPr>
        <w:t>参加投标</w:t>
      </w:r>
      <w:r>
        <w:rPr>
          <w:rFonts w:hint="eastAsia" w:ascii="仿宋" w:hAnsi="仿宋" w:eastAsia="仿宋" w:cs="仿宋"/>
          <w:color w:val="auto"/>
          <w:sz w:val="24"/>
          <w:szCs w:val="24"/>
          <w:highlight w:val="none"/>
          <w:lang w:val="en-GB"/>
        </w:rPr>
        <w:t>有关的费用。不论</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的结果如何，</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和</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均无义务和责任承担这些费用。</w:t>
      </w:r>
    </w:p>
    <w:p w14:paraId="04EC9C4D">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4.1</w:t>
      </w:r>
      <w:r>
        <w:rPr>
          <w:rFonts w:hint="eastAsia" w:ascii="仿宋" w:hAnsi="仿宋" w:eastAsia="仿宋" w:cs="仿宋"/>
          <w:color w:val="auto"/>
          <w:sz w:val="24"/>
          <w:szCs w:val="24"/>
          <w:highlight w:val="none"/>
          <w:lang w:val="en-GB" w:eastAsia="zh-CN"/>
        </w:rPr>
        <w:t>中标人</w:t>
      </w:r>
      <w:r>
        <w:rPr>
          <w:rFonts w:hint="eastAsia" w:ascii="仿宋" w:hAnsi="仿宋" w:eastAsia="仿宋" w:cs="仿宋"/>
          <w:color w:val="auto"/>
          <w:sz w:val="24"/>
          <w:szCs w:val="24"/>
          <w:highlight w:val="none"/>
          <w:lang w:val="en-GB"/>
        </w:rPr>
        <w:t>必须按规定向</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交纳采购代理服务费。采购代理服务费金额缴交方式及时间详见“</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须知前附表”内容。</w:t>
      </w:r>
    </w:p>
    <w:p w14:paraId="60798B82">
      <w:pPr>
        <w:pStyle w:val="44"/>
        <w:keepNext w:val="0"/>
        <w:keepLines w:val="0"/>
        <w:pageBreakBefore w:val="0"/>
        <w:widowControl w:val="0"/>
        <w:kinsoku/>
        <w:wordWrap w:val="0"/>
        <w:overflowPunct/>
        <w:topLinePunct w:val="0"/>
        <w:autoSpaceDE/>
        <w:autoSpaceDN/>
        <w:bidi w:val="0"/>
        <w:adjustRightInd w:val="0"/>
        <w:snapToGrid w:val="0"/>
        <w:spacing w:before="0" w:after="0" w:line="360" w:lineRule="auto"/>
        <w:jc w:val="both"/>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二、</w:t>
      </w:r>
      <w:r>
        <w:rPr>
          <w:rFonts w:hint="eastAsia" w:ascii="仿宋" w:hAnsi="仿宋" w:eastAsia="仿宋" w:cs="仿宋"/>
          <w:color w:val="auto"/>
          <w:highlight w:val="none"/>
          <w:lang w:eastAsia="zh-CN"/>
        </w:rPr>
        <w:t>采购文件</w:t>
      </w:r>
    </w:p>
    <w:p w14:paraId="435A3C84">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highlight w:val="none"/>
          <w:lang w:eastAsia="zh-CN"/>
        </w:rPr>
        <w:t>采购文件</w:t>
      </w:r>
      <w:r>
        <w:rPr>
          <w:rFonts w:hint="eastAsia" w:ascii="仿宋" w:hAnsi="仿宋" w:eastAsia="仿宋" w:cs="仿宋"/>
          <w:color w:val="auto"/>
          <w:highlight w:val="none"/>
        </w:rPr>
        <w:t>的构成</w:t>
      </w:r>
    </w:p>
    <w:p w14:paraId="23E59461">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由下列文件以及在</w:t>
      </w:r>
      <w:r>
        <w:rPr>
          <w:rFonts w:hint="eastAsia" w:ascii="仿宋" w:hAnsi="仿宋" w:eastAsia="仿宋" w:cs="仿宋"/>
          <w:color w:val="auto"/>
          <w:sz w:val="24"/>
          <w:szCs w:val="24"/>
          <w:highlight w:val="none"/>
          <w:lang w:val="en-GB" w:eastAsia="zh-CN"/>
        </w:rPr>
        <w:t>采购过程</w:t>
      </w:r>
      <w:r>
        <w:rPr>
          <w:rFonts w:hint="eastAsia" w:ascii="仿宋" w:hAnsi="仿宋" w:eastAsia="仿宋" w:cs="仿宋"/>
          <w:color w:val="auto"/>
          <w:sz w:val="24"/>
          <w:szCs w:val="24"/>
          <w:highlight w:val="none"/>
          <w:lang w:val="en-GB"/>
        </w:rPr>
        <w:t>中发出的修正和补充文件组成：</w:t>
      </w:r>
    </w:p>
    <w:p w14:paraId="2F7CC980">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rPr>
        <w:t xml:space="preserve">(1) </w:t>
      </w:r>
      <w:r>
        <w:rPr>
          <w:rFonts w:hint="eastAsia" w:ascii="仿宋" w:hAnsi="仿宋" w:eastAsia="仿宋" w:cs="仿宋"/>
          <w:color w:val="auto"/>
          <w:sz w:val="24"/>
          <w:szCs w:val="24"/>
          <w:highlight w:val="none"/>
          <w:lang w:val="en-GB" w:eastAsia="zh-CN"/>
        </w:rPr>
        <w:t>投标邀请函</w:t>
      </w:r>
    </w:p>
    <w:p w14:paraId="46070464">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rPr>
        <w:t xml:space="preserve">(2) </w:t>
      </w:r>
      <w:r>
        <w:rPr>
          <w:rFonts w:hint="eastAsia" w:ascii="仿宋" w:hAnsi="仿宋" w:eastAsia="仿宋" w:cs="仿宋"/>
          <w:color w:val="auto"/>
          <w:sz w:val="24"/>
          <w:szCs w:val="24"/>
          <w:highlight w:val="none"/>
          <w:lang w:val="en-GB" w:eastAsia="zh-CN"/>
        </w:rPr>
        <w:t>采购项目内容</w:t>
      </w:r>
    </w:p>
    <w:p w14:paraId="0DD5245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(3) </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须知</w:t>
      </w:r>
    </w:p>
    <w:p w14:paraId="4ECBD85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(4) 合同书格式</w:t>
      </w:r>
    </w:p>
    <w:p w14:paraId="1E84BBC6">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(5) </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 xml:space="preserve">格式 </w:t>
      </w:r>
    </w:p>
    <w:p w14:paraId="0884F6AA">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(6) 评审细则</w:t>
      </w:r>
    </w:p>
    <w:p w14:paraId="6A9FD6F6">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5.2</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应认真阅读、并充分理解</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的全部内容（包括所有的补充、修改内容、重要事项、格式、条款和技术规范、参数及要求等）。</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没有按照</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要求提交全部资料，或者没有对</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在各方面都做出实质性响应是</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的风险，有可能导致其</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被拒绝，或被认定为无效</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或被确定为</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无效。</w:t>
      </w:r>
    </w:p>
    <w:p w14:paraId="0B39B6EB">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5.3</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是编制</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、评标、定标及中标后签订合同的重要依据。</w:t>
      </w:r>
    </w:p>
    <w:p w14:paraId="38D1893D">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6.</w:t>
      </w:r>
      <w:r>
        <w:rPr>
          <w:rFonts w:hint="eastAsia" w:ascii="仿宋" w:hAnsi="仿宋" w:eastAsia="仿宋" w:cs="仿宋"/>
          <w:color w:val="auto"/>
          <w:highlight w:val="none"/>
          <w:lang w:eastAsia="zh-CN"/>
        </w:rPr>
        <w:t>采购文件</w:t>
      </w:r>
      <w:r>
        <w:rPr>
          <w:rFonts w:hint="eastAsia" w:ascii="仿宋" w:hAnsi="仿宋" w:eastAsia="仿宋" w:cs="仿宋"/>
          <w:color w:val="auto"/>
          <w:highlight w:val="none"/>
        </w:rPr>
        <w:t>的现场考察、答疑</w:t>
      </w:r>
    </w:p>
    <w:p w14:paraId="4FCEE408">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6.1</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可以在</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提供期限截止后，组织已获取</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的潜在</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现场考察或者召开开标前答疑会。</w:t>
      </w:r>
    </w:p>
    <w:p w14:paraId="7687791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6.2</w:t>
      </w:r>
      <w:r>
        <w:rPr>
          <w:rFonts w:hint="eastAsia" w:ascii="仿宋" w:hAnsi="仿宋" w:eastAsia="仿宋" w:cs="仿宋"/>
          <w:color w:val="auto"/>
          <w:sz w:val="24"/>
          <w:szCs w:val="24"/>
          <w:highlight w:val="none"/>
          <w:lang w:val="en-GB"/>
        </w:rPr>
        <w:t>关于本项目是否组织现场考察或者召开开标前答疑会的情况详见《</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须知前附表》的“现场考察或者开标前答疑会”内容。</w:t>
      </w:r>
    </w:p>
    <w:p w14:paraId="66B8FE5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6.3</w:t>
      </w:r>
      <w:r>
        <w:rPr>
          <w:rFonts w:hint="eastAsia" w:ascii="仿宋" w:hAnsi="仿宋" w:eastAsia="仿宋" w:cs="仿宋"/>
          <w:color w:val="auto"/>
          <w:sz w:val="24"/>
          <w:szCs w:val="24"/>
          <w:highlight w:val="none"/>
          <w:lang w:val="en-GB"/>
        </w:rPr>
        <w:t>任何要求对</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进行答疑的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，均应以书面形式在公示期间或者自公示期满之日起七个工作日内通知广东宏正工程咨询有限公司。广东宏正工程咨询有限公司将组织</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对</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所要求答疑的内容均以网上公告形式予以答复。必要时，将组织相关专家召开开标前答疑会，并将会议内容以网上公告的形式发布（答复中不包括问题的来源）。</w:t>
      </w:r>
    </w:p>
    <w:p w14:paraId="164AAF39">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6.4</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在规定的时间内未对</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提出疑问的，将被视为无异议。对</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中描述有歧义或前后不一致的地方，评标委员会有权进行评判，但对同一条款的评判应适用于每个</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w:t>
      </w:r>
    </w:p>
    <w:p w14:paraId="7D9AEEAD">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7.</w:t>
      </w:r>
      <w:r>
        <w:rPr>
          <w:rFonts w:hint="eastAsia" w:ascii="仿宋" w:hAnsi="仿宋" w:eastAsia="仿宋" w:cs="仿宋"/>
          <w:color w:val="auto"/>
          <w:highlight w:val="none"/>
          <w:lang w:eastAsia="zh-CN"/>
        </w:rPr>
        <w:t>采购文件</w:t>
      </w:r>
      <w:r>
        <w:rPr>
          <w:rFonts w:hint="eastAsia" w:ascii="仿宋" w:hAnsi="仿宋" w:eastAsia="仿宋" w:cs="仿宋"/>
          <w:color w:val="auto"/>
          <w:highlight w:val="none"/>
        </w:rPr>
        <w:t>的澄清或者修改</w:t>
      </w:r>
    </w:p>
    <w:p w14:paraId="2FC9A44D">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7.1</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可以对已发出的</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进行必要的澄清或者修改，澄清或者修改内容在原公告发布媒体上发布澄清公告。澄清或者修改的内容为</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的组成部分。</w:t>
      </w:r>
    </w:p>
    <w:p w14:paraId="7DB275FC">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7.2</w:t>
      </w:r>
      <w:r>
        <w:rPr>
          <w:rFonts w:hint="eastAsia" w:ascii="仿宋" w:hAnsi="仿宋" w:eastAsia="仿宋" w:cs="仿宋"/>
          <w:color w:val="auto"/>
          <w:sz w:val="24"/>
          <w:szCs w:val="24"/>
          <w:highlight w:val="none"/>
          <w:lang w:val="en-GB"/>
        </w:rPr>
        <w:t>澄清或者修改的内容可能影响</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编制的，</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在</w:t>
      </w:r>
      <w:r>
        <w:rPr>
          <w:rFonts w:hint="eastAsia" w:ascii="仿宋" w:hAnsi="仿宋" w:eastAsia="仿宋" w:cs="仿宋"/>
          <w:color w:val="auto"/>
          <w:sz w:val="24"/>
          <w:szCs w:val="24"/>
          <w:highlight w:val="none"/>
          <w:lang w:val="en-GB" w:eastAsia="zh-CN"/>
        </w:rPr>
        <w:t>提交投标文件截止时间</w:t>
      </w:r>
      <w:r>
        <w:rPr>
          <w:rFonts w:hint="eastAsia" w:ascii="仿宋" w:hAnsi="仿宋" w:eastAsia="仿宋" w:cs="仿宋"/>
          <w:color w:val="auto"/>
          <w:sz w:val="24"/>
          <w:szCs w:val="24"/>
          <w:highlight w:val="none"/>
          <w:lang w:val="en-GB"/>
        </w:rPr>
        <w:t>至少15日前，以书面形式通知所有获取</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的潜在</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；不足15日的，</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顺延提交</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的截止时间。</w:t>
      </w:r>
    </w:p>
    <w:p w14:paraId="634E30B4">
      <w:pPr>
        <w:pStyle w:val="44"/>
        <w:keepNext w:val="0"/>
        <w:keepLines w:val="0"/>
        <w:pageBreakBefore w:val="0"/>
        <w:widowControl w:val="0"/>
        <w:kinsoku/>
        <w:wordWrap w:val="0"/>
        <w:overflowPunct/>
        <w:topLinePunct w:val="0"/>
        <w:autoSpaceDE/>
        <w:autoSpaceDN/>
        <w:bidi w:val="0"/>
        <w:adjustRightInd w:val="0"/>
        <w:snapToGrid w:val="0"/>
        <w:spacing w:before="0" w:after="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三、</w:t>
      </w:r>
      <w:r>
        <w:rPr>
          <w:rFonts w:hint="eastAsia" w:ascii="仿宋" w:hAnsi="仿宋" w:eastAsia="仿宋" w:cs="仿宋"/>
          <w:color w:val="auto"/>
          <w:highlight w:val="none"/>
          <w:lang w:eastAsia="zh-CN"/>
        </w:rPr>
        <w:t>投标文件</w:t>
      </w:r>
      <w:r>
        <w:rPr>
          <w:rFonts w:hint="eastAsia" w:ascii="仿宋" w:hAnsi="仿宋" w:eastAsia="仿宋" w:cs="仿宋"/>
          <w:color w:val="auto"/>
          <w:highlight w:val="none"/>
        </w:rPr>
        <w:t>的编制和数量</w:t>
      </w:r>
    </w:p>
    <w:p w14:paraId="6F06D062">
      <w:pPr>
        <w:pStyle w:val="6"/>
        <w:keepNext w:val="0"/>
        <w:keepLines w:val="0"/>
        <w:pageBreakBefore w:val="0"/>
        <w:widowControl w:val="0"/>
        <w:tabs>
          <w:tab w:val="left" w:pos="540"/>
        </w:tabs>
        <w:kinsoku/>
        <w:wordWrap w:val="0"/>
        <w:overflowPunct/>
        <w:topLinePunct w:val="0"/>
        <w:autoSpaceDE/>
        <w:autoSpaceDN/>
        <w:bidi w:val="0"/>
        <w:spacing w:line="360" w:lineRule="auto"/>
        <w:textAlignment w:val="auto"/>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rPr>
        <w:t>8.</w:t>
      </w:r>
      <w:r>
        <w:rPr>
          <w:rFonts w:hint="eastAsia" w:ascii="仿宋" w:hAnsi="仿宋" w:eastAsia="仿宋" w:cs="仿宋"/>
          <w:b/>
          <w:bCs/>
          <w:color w:val="auto"/>
          <w:sz w:val="24"/>
          <w:szCs w:val="24"/>
          <w:highlight w:val="none"/>
          <w:lang w:val="en-GB" w:eastAsia="zh-CN"/>
        </w:rPr>
        <w:t>投标</w:t>
      </w:r>
      <w:r>
        <w:rPr>
          <w:rFonts w:hint="eastAsia" w:ascii="仿宋" w:hAnsi="仿宋" w:eastAsia="仿宋" w:cs="仿宋"/>
          <w:b/>
          <w:bCs/>
          <w:color w:val="auto"/>
          <w:sz w:val="24"/>
          <w:szCs w:val="24"/>
          <w:highlight w:val="none"/>
          <w:lang w:val="en-GB"/>
        </w:rPr>
        <w:t>的语言</w:t>
      </w:r>
    </w:p>
    <w:p w14:paraId="15220336">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8.1</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提交的</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以及</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与</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就有关</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的所有来往函电均应使用中文。</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提交的支持文件或印刷的资料可以用另一种语言，但相应内容应附有中文翻译本，在解释</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的修改内容时以中文翻译本为准。对中文翻译有异议的，以权威机构的译本为准。</w:t>
      </w:r>
    </w:p>
    <w:p w14:paraId="6B5E831B">
      <w:pPr>
        <w:pStyle w:val="6"/>
        <w:keepNext w:val="0"/>
        <w:keepLines w:val="0"/>
        <w:pageBreakBefore w:val="0"/>
        <w:widowControl w:val="0"/>
        <w:tabs>
          <w:tab w:val="left" w:pos="540"/>
        </w:tabs>
        <w:kinsoku/>
        <w:wordWrap w:val="0"/>
        <w:overflowPunct/>
        <w:topLinePunct w:val="0"/>
        <w:autoSpaceDE/>
        <w:autoSpaceDN/>
        <w:bidi w:val="0"/>
        <w:spacing w:line="360" w:lineRule="auto"/>
        <w:textAlignment w:val="auto"/>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rPr>
        <w:t>9.</w:t>
      </w:r>
      <w:r>
        <w:rPr>
          <w:rFonts w:hint="eastAsia" w:ascii="仿宋" w:hAnsi="仿宋" w:eastAsia="仿宋" w:cs="仿宋"/>
          <w:b/>
          <w:bCs/>
          <w:color w:val="auto"/>
          <w:sz w:val="24"/>
          <w:szCs w:val="24"/>
          <w:highlight w:val="none"/>
          <w:lang w:val="en-GB" w:eastAsia="zh-CN"/>
        </w:rPr>
        <w:t>投标文件</w:t>
      </w:r>
      <w:r>
        <w:rPr>
          <w:rFonts w:hint="eastAsia" w:ascii="仿宋" w:hAnsi="仿宋" w:eastAsia="仿宋" w:cs="仿宋"/>
          <w:b/>
          <w:bCs/>
          <w:color w:val="auto"/>
          <w:sz w:val="24"/>
          <w:szCs w:val="24"/>
          <w:highlight w:val="none"/>
          <w:lang w:val="en-GB"/>
        </w:rPr>
        <w:t>编制</w:t>
      </w:r>
    </w:p>
    <w:p w14:paraId="5B7A5024">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9.1.</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应当按照</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的要求编制</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应当对</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提出的要求和条件作出明确响应。</w:t>
      </w:r>
    </w:p>
    <w:p w14:paraId="4A6AA579">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9.2.</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对其</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的编制应按要求装订和封装。对未经装订的</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可能发生的文件散落或缺损，由此产生的后果由</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承担。</w:t>
      </w:r>
    </w:p>
    <w:p w14:paraId="2E5275D6">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9.3.</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应完整、真实、准确地填写</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中规定的所有内容。</w:t>
      </w:r>
    </w:p>
    <w:p w14:paraId="17EA905D">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9.4.</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必须对</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所提供的全部资料的真实性承担法律责任，并无条件接受</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及监督管理部门等对其中任何资料进行核实的要求。</w:t>
      </w:r>
    </w:p>
    <w:p w14:paraId="5C6E385D">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9.5.如果因为</w:t>
      </w:r>
      <w:r>
        <w:rPr>
          <w:rFonts w:hint="eastAsia" w:ascii="仿宋" w:hAnsi="仿宋" w:eastAsia="仿宋" w:cs="仿宋"/>
          <w:color w:val="auto"/>
          <w:sz w:val="24"/>
          <w:szCs w:val="24"/>
          <w:highlight w:val="none"/>
          <w:lang w:val="en-GB" w:eastAsia="zh-CN"/>
        </w:rPr>
        <w:t>投标人投标文件</w:t>
      </w:r>
      <w:r>
        <w:rPr>
          <w:rFonts w:hint="eastAsia" w:ascii="仿宋" w:hAnsi="仿宋" w:eastAsia="仿宋" w:cs="仿宋"/>
          <w:color w:val="auto"/>
          <w:sz w:val="24"/>
          <w:szCs w:val="24"/>
          <w:highlight w:val="none"/>
          <w:lang w:val="en-GB"/>
        </w:rPr>
        <w:t>填报的内容不详，或没有提供</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中所要求的全部资料及数据，由此造成的后果，其责任由</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承担。</w:t>
      </w:r>
    </w:p>
    <w:p w14:paraId="13969A3D">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9.6.</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报价是以</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可独立履行项目合同义务，通过合理预测与准确核算后，可达到预期设计功能和常规使用效果，满足约定的验收标准和符合自身合法利益的前提下所作出的综合性合理报价，对在</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和合同书中未有明确列述、</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方案遗漏失误、市场剧变因素、应预见和不可预见的费用等均视为已完全考虑到并包括在</w:t>
      </w:r>
      <w:r>
        <w:rPr>
          <w:rFonts w:hint="eastAsia" w:ascii="仿宋" w:hAnsi="仿宋" w:eastAsia="仿宋" w:cs="仿宋"/>
          <w:color w:val="auto"/>
          <w:sz w:val="24"/>
          <w:szCs w:val="24"/>
          <w:highlight w:val="none"/>
          <w:lang w:val="en-GB" w:eastAsia="zh-CN"/>
        </w:rPr>
        <w:t>投标总价</w:t>
      </w:r>
      <w:r>
        <w:rPr>
          <w:rFonts w:hint="eastAsia" w:ascii="仿宋" w:hAnsi="仿宋" w:eastAsia="仿宋" w:cs="仿宋"/>
          <w:color w:val="auto"/>
          <w:sz w:val="24"/>
          <w:szCs w:val="24"/>
          <w:highlight w:val="none"/>
          <w:lang w:val="en-GB"/>
        </w:rPr>
        <w:t>之内。</w:t>
      </w:r>
    </w:p>
    <w:p w14:paraId="2B8C3A67">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9.7.</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应预见其超出常规、具有特别意义、会引起竞争非议、有可能影响产品质量或者不能诚信履约的报价会对其</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有效性造成不良影响。</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应自觉对其作出特别说明并提供相关证明材料以证明该报价的合理性。</w:t>
      </w:r>
    </w:p>
    <w:p w14:paraId="0775A7AC">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9.8.除非</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另有规定或许可，</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提供的货物及服务均以人民币进行报价。</w:t>
      </w:r>
    </w:p>
    <w:p w14:paraId="5677A9E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9.9.</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应当遵循公平竞争的原则，不得恶意串通，不得妨碍其他</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的竞争行为，不得损害</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或者其他</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的合法权益。</w:t>
      </w:r>
    </w:p>
    <w:p w14:paraId="1991256D">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9.10.在评标过程中发现</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有上述情形的，评标委员会认定其</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无效，并书面报告上级管理部门。</w:t>
      </w:r>
    </w:p>
    <w:p w14:paraId="79FFE6BD">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9.11.</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根据</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的规定和</w:t>
      </w:r>
      <w:r>
        <w:rPr>
          <w:rFonts w:hint="eastAsia" w:ascii="仿宋" w:hAnsi="仿宋" w:eastAsia="仿宋" w:cs="仿宋"/>
          <w:color w:val="auto"/>
          <w:sz w:val="24"/>
          <w:szCs w:val="24"/>
          <w:highlight w:val="none"/>
          <w:lang w:val="en-GB" w:eastAsia="zh-CN"/>
        </w:rPr>
        <w:t>采购项目</w:t>
      </w:r>
      <w:r>
        <w:rPr>
          <w:rFonts w:hint="eastAsia" w:ascii="仿宋" w:hAnsi="仿宋" w:eastAsia="仿宋" w:cs="仿宋"/>
          <w:color w:val="auto"/>
          <w:sz w:val="24"/>
          <w:szCs w:val="24"/>
          <w:highlight w:val="none"/>
          <w:lang w:val="en-GB"/>
        </w:rPr>
        <w:t>的实际情况，拟在中标后将中标项目的非主体、非关键性工作分包的，应当在</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中载明分包承担主体，分包承担主体应当具备相应资质条件且不得再次分包。</w:t>
      </w:r>
    </w:p>
    <w:p w14:paraId="4414C66D">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10.</w:t>
      </w:r>
      <w:r>
        <w:rPr>
          <w:rFonts w:hint="eastAsia" w:ascii="仿宋" w:hAnsi="仿宋" w:eastAsia="仿宋" w:cs="仿宋"/>
          <w:color w:val="auto"/>
          <w:highlight w:val="none"/>
          <w:lang w:eastAsia="zh-CN"/>
        </w:rPr>
        <w:t>投标</w:t>
      </w:r>
      <w:r>
        <w:rPr>
          <w:rFonts w:hint="eastAsia" w:ascii="仿宋" w:hAnsi="仿宋" w:eastAsia="仿宋" w:cs="仿宋"/>
          <w:color w:val="auto"/>
          <w:highlight w:val="none"/>
        </w:rPr>
        <w:t>要求</w:t>
      </w:r>
    </w:p>
    <w:p w14:paraId="68669A8D">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10.1</w:t>
      </w:r>
      <w:r>
        <w:rPr>
          <w:rFonts w:hint="eastAsia" w:ascii="仿宋" w:hAnsi="仿宋" w:eastAsia="仿宋" w:cs="仿宋"/>
          <w:color w:val="auto"/>
          <w:sz w:val="24"/>
          <w:szCs w:val="24"/>
          <w:highlight w:val="none"/>
          <w:lang w:val="en-GB"/>
        </w:rPr>
        <w:t>本项目只允许</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有一个</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方案，每个</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只能有一个报价。</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报价不得超过</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中规定的报价范围。</w:t>
      </w:r>
    </w:p>
    <w:p w14:paraId="4F9DBB04">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11.本项目不接受联合体</w:t>
      </w:r>
      <w:r>
        <w:rPr>
          <w:rFonts w:hint="eastAsia" w:ascii="仿宋" w:hAnsi="仿宋" w:eastAsia="仿宋" w:cs="仿宋"/>
          <w:color w:val="auto"/>
          <w:highlight w:val="none"/>
          <w:lang w:eastAsia="zh-CN"/>
        </w:rPr>
        <w:t>投标</w:t>
      </w:r>
      <w:r>
        <w:rPr>
          <w:rFonts w:hint="eastAsia" w:ascii="仿宋" w:hAnsi="仿宋" w:eastAsia="仿宋" w:cs="仿宋"/>
          <w:color w:val="auto"/>
          <w:highlight w:val="none"/>
        </w:rPr>
        <w:t>。</w:t>
      </w:r>
    </w:p>
    <w:p w14:paraId="087BD052">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12.</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资格证明文件</w:t>
      </w:r>
    </w:p>
    <w:p w14:paraId="23F0321C">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12.1</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应按</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的要求，提交证明其有资格</w:t>
      </w:r>
      <w:r>
        <w:rPr>
          <w:rFonts w:hint="eastAsia" w:ascii="仿宋" w:hAnsi="仿宋" w:eastAsia="仿宋" w:cs="仿宋"/>
          <w:color w:val="auto"/>
          <w:sz w:val="24"/>
          <w:szCs w:val="24"/>
          <w:highlight w:val="none"/>
          <w:lang w:val="en-GB" w:eastAsia="zh-CN"/>
        </w:rPr>
        <w:t>参加投标</w:t>
      </w:r>
      <w:r>
        <w:rPr>
          <w:rFonts w:hint="eastAsia" w:ascii="仿宋" w:hAnsi="仿宋" w:eastAsia="仿宋" w:cs="仿宋"/>
          <w:color w:val="auto"/>
          <w:sz w:val="24"/>
          <w:szCs w:val="24"/>
          <w:highlight w:val="none"/>
          <w:lang w:val="en-GB"/>
        </w:rPr>
        <w:t>和中标后有履行合同能力的文件，并作为其</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的组成部分。资格证明文件必须真实有效，复印件必须加盖单位公章。</w:t>
      </w:r>
    </w:p>
    <w:p w14:paraId="30FA551B">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13.</w:t>
      </w:r>
      <w:r>
        <w:rPr>
          <w:rFonts w:hint="eastAsia" w:ascii="仿宋" w:hAnsi="仿宋" w:eastAsia="仿宋" w:cs="仿宋"/>
          <w:color w:val="auto"/>
          <w:highlight w:val="none"/>
          <w:lang w:eastAsia="zh-CN"/>
        </w:rPr>
        <w:t>投标有效期</w:t>
      </w:r>
    </w:p>
    <w:p w14:paraId="49AE7F36">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13.1</w:t>
      </w:r>
      <w:r>
        <w:rPr>
          <w:rFonts w:hint="eastAsia" w:ascii="仿宋" w:hAnsi="仿宋" w:eastAsia="仿宋" w:cs="仿宋"/>
          <w:color w:val="auto"/>
          <w:sz w:val="24"/>
          <w:szCs w:val="24"/>
          <w:highlight w:val="none"/>
          <w:lang w:val="en-GB" w:eastAsia="zh-CN"/>
        </w:rPr>
        <w:t>投标有效期</w:t>
      </w:r>
      <w:r>
        <w:rPr>
          <w:rFonts w:hint="eastAsia" w:ascii="仿宋" w:hAnsi="仿宋" w:eastAsia="仿宋" w:cs="仿宋"/>
          <w:color w:val="auto"/>
          <w:sz w:val="24"/>
          <w:szCs w:val="24"/>
          <w:highlight w:val="none"/>
          <w:lang w:val="en-GB"/>
        </w:rPr>
        <w:t>从提交</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的截止之日起算，具体单位时间详见《</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须知前附表》的“</w:t>
      </w:r>
      <w:r>
        <w:rPr>
          <w:rFonts w:hint="eastAsia" w:ascii="仿宋" w:hAnsi="仿宋" w:eastAsia="仿宋" w:cs="仿宋"/>
          <w:color w:val="auto"/>
          <w:sz w:val="24"/>
          <w:szCs w:val="24"/>
          <w:highlight w:val="none"/>
          <w:lang w:val="en-GB" w:eastAsia="zh-CN"/>
        </w:rPr>
        <w:t>投标有效期</w:t>
      </w:r>
      <w:r>
        <w:rPr>
          <w:rFonts w:hint="eastAsia" w:ascii="仿宋" w:hAnsi="仿宋" w:eastAsia="仿宋" w:cs="仿宋"/>
          <w:color w:val="auto"/>
          <w:sz w:val="24"/>
          <w:szCs w:val="24"/>
          <w:highlight w:val="none"/>
          <w:lang w:val="en-GB"/>
        </w:rPr>
        <w:t>”内容。</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中承诺的</w:t>
      </w:r>
      <w:r>
        <w:rPr>
          <w:rFonts w:hint="eastAsia" w:ascii="仿宋" w:hAnsi="仿宋" w:eastAsia="仿宋" w:cs="仿宋"/>
          <w:color w:val="auto"/>
          <w:sz w:val="24"/>
          <w:szCs w:val="24"/>
          <w:highlight w:val="none"/>
          <w:lang w:val="en-GB" w:eastAsia="zh-CN"/>
        </w:rPr>
        <w:t>投标有效期</w:t>
      </w:r>
      <w:r>
        <w:rPr>
          <w:rFonts w:hint="eastAsia" w:ascii="仿宋" w:hAnsi="仿宋" w:eastAsia="仿宋" w:cs="仿宋"/>
          <w:color w:val="auto"/>
          <w:sz w:val="24"/>
          <w:szCs w:val="24"/>
          <w:highlight w:val="none"/>
          <w:lang w:val="en-GB"/>
        </w:rPr>
        <w:t>应当不少于</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中载明的</w:t>
      </w:r>
      <w:r>
        <w:rPr>
          <w:rFonts w:hint="eastAsia" w:ascii="仿宋" w:hAnsi="仿宋" w:eastAsia="仿宋" w:cs="仿宋"/>
          <w:color w:val="auto"/>
          <w:sz w:val="24"/>
          <w:szCs w:val="24"/>
          <w:highlight w:val="none"/>
          <w:lang w:val="en-GB" w:eastAsia="zh-CN"/>
        </w:rPr>
        <w:t>投标有效期</w:t>
      </w:r>
      <w:r>
        <w:rPr>
          <w:rFonts w:hint="eastAsia" w:ascii="仿宋" w:hAnsi="仿宋" w:eastAsia="仿宋" w:cs="仿宋"/>
          <w:color w:val="auto"/>
          <w:sz w:val="24"/>
          <w:szCs w:val="24"/>
          <w:highlight w:val="none"/>
          <w:lang w:val="en-GB"/>
        </w:rPr>
        <w:t>。</w:t>
      </w:r>
    </w:p>
    <w:p w14:paraId="19111F77">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GB"/>
        </w:rPr>
        <w:t>1</w:t>
      </w: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lang w:val="en-GB" w:eastAsia="zh-CN"/>
        </w:rPr>
        <w:t>投标有效期</w:t>
      </w:r>
      <w:r>
        <w:rPr>
          <w:rFonts w:hint="eastAsia" w:ascii="仿宋" w:hAnsi="仿宋" w:eastAsia="仿宋" w:cs="仿宋"/>
          <w:color w:val="auto"/>
          <w:sz w:val="24"/>
          <w:szCs w:val="24"/>
          <w:highlight w:val="none"/>
          <w:lang w:val="en-GB"/>
        </w:rPr>
        <w:t>内</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撤销</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可以不退还</w:t>
      </w:r>
      <w:r>
        <w:rPr>
          <w:rFonts w:hint="eastAsia" w:ascii="仿宋" w:hAnsi="仿宋" w:eastAsia="仿宋" w:cs="仿宋"/>
          <w:color w:val="auto"/>
          <w:sz w:val="24"/>
          <w:szCs w:val="24"/>
          <w:highlight w:val="none"/>
          <w:lang w:val="en-GB" w:eastAsia="zh-CN"/>
        </w:rPr>
        <w:t>投标保证金</w:t>
      </w:r>
      <w:r>
        <w:rPr>
          <w:rFonts w:hint="eastAsia" w:ascii="仿宋" w:hAnsi="仿宋" w:eastAsia="仿宋" w:cs="仿宋"/>
          <w:color w:val="auto"/>
          <w:sz w:val="24"/>
          <w:szCs w:val="24"/>
          <w:highlight w:val="none"/>
          <w:lang w:val="en-GB"/>
        </w:rPr>
        <w:t>（如有）。</w:t>
      </w:r>
    </w:p>
    <w:p w14:paraId="5E6A6BB5">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13.3</w:t>
      </w:r>
      <w:r>
        <w:rPr>
          <w:rFonts w:hint="eastAsia" w:ascii="仿宋" w:hAnsi="仿宋" w:eastAsia="仿宋" w:cs="仿宋"/>
          <w:color w:val="auto"/>
          <w:sz w:val="24"/>
          <w:szCs w:val="24"/>
          <w:highlight w:val="none"/>
          <w:lang w:val="en-GB"/>
        </w:rPr>
        <w:t>出现特殊情况需延长</w:t>
      </w:r>
      <w:r>
        <w:rPr>
          <w:rFonts w:hint="eastAsia" w:ascii="仿宋" w:hAnsi="仿宋" w:eastAsia="仿宋" w:cs="仿宋"/>
          <w:color w:val="auto"/>
          <w:sz w:val="24"/>
          <w:szCs w:val="24"/>
          <w:highlight w:val="none"/>
          <w:lang w:val="en-GB" w:eastAsia="zh-CN"/>
        </w:rPr>
        <w:t>投标有效期</w:t>
      </w:r>
      <w:r>
        <w:rPr>
          <w:rFonts w:hint="eastAsia" w:ascii="仿宋" w:hAnsi="仿宋" w:eastAsia="仿宋" w:cs="仿宋"/>
          <w:color w:val="auto"/>
          <w:sz w:val="24"/>
          <w:szCs w:val="24"/>
          <w:highlight w:val="none"/>
          <w:lang w:val="en-GB"/>
        </w:rPr>
        <w:t>的，</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可于</w:t>
      </w:r>
      <w:r>
        <w:rPr>
          <w:rFonts w:hint="eastAsia" w:ascii="仿宋" w:hAnsi="仿宋" w:eastAsia="仿宋" w:cs="仿宋"/>
          <w:color w:val="auto"/>
          <w:sz w:val="24"/>
          <w:szCs w:val="24"/>
          <w:highlight w:val="none"/>
          <w:lang w:val="en-GB" w:eastAsia="zh-CN"/>
        </w:rPr>
        <w:t>投标有效期</w:t>
      </w:r>
      <w:r>
        <w:rPr>
          <w:rFonts w:hint="eastAsia" w:ascii="仿宋" w:hAnsi="仿宋" w:eastAsia="仿宋" w:cs="仿宋"/>
          <w:color w:val="auto"/>
          <w:sz w:val="24"/>
          <w:szCs w:val="24"/>
          <w:highlight w:val="none"/>
          <w:lang w:val="en-GB"/>
        </w:rPr>
        <w:t>满之前要求</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同意延长有效期，要求与答复均以书面形式通知所有</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同意延长的，应相应延长其</w:t>
      </w:r>
      <w:r>
        <w:rPr>
          <w:rFonts w:hint="eastAsia" w:ascii="仿宋" w:hAnsi="仿宋" w:eastAsia="仿宋" w:cs="仿宋"/>
          <w:color w:val="auto"/>
          <w:sz w:val="24"/>
          <w:szCs w:val="24"/>
          <w:highlight w:val="none"/>
          <w:lang w:val="en-GB" w:eastAsia="zh-CN"/>
        </w:rPr>
        <w:t>投标保证金</w:t>
      </w:r>
      <w:r>
        <w:rPr>
          <w:rFonts w:hint="eastAsia" w:ascii="仿宋" w:hAnsi="仿宋" w:eastAsia="仿宋" w:cs="仿宋"/>
          <w:color w:val="auto"/>
          <w:sz w:val="24"/>
          <w:szCs w:val="24"/>
          <w:highlight w:val="none"/>
          <w:lang w:val="en-GB"/>
        </w:rPr>
        <w:t>（如有）的有效期，但不得要求或被允许修改或撤销其</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可以拒绝延长有效期，但其</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将会被视为无效，拒绝延长有效期的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有权收回其</w:t>
      </w:r>
      <w:r>
        <w:rPr>
          <w:rFonts w:hint="eastAsia" w:ascii="仿宋" w:hAnsi="仿宋" w:eastAsia="仿宋" w:cs="仿宋"/>
          <w:color w:val="auto"/>
          <w:sz w:val="24"/>
          <w:szCs w:val="24"/>
          <w:highlight w:val="none"/>
          <w:lang w:val="en-GB" w:eastAsia="zh-CN"/>
        </w:rPr>
        <w:t>投标保证金</w:t>
      </w:r>
      <w:r>
        <w:rPr>
          <w:rFonts w:hint="eastAsia" w:ascii="仿宋" w:hAnsi="仿宋" w:eastAsia="仿宋" w:cs="仿宋"/>
          <w:color w:val="auto"/>
          <w:sz w:val="24"/>
          <w:szCs w:val="24"/>
          <w:highlight w:val="none"/>
          <w:lang w:val="en-GB"/>
        </w:rPr>
        <w:t>（如有）。采用</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保函方式替代保证金的，</w:t>
      </w:r>
      <w:r>
        <w:rPr>
          <w:rFonts w:hint="eastAsia" w:ascii="仿宋" w:hAnsi="仿宋" w:eastAsia="仿宋" w:cs="仿宋"/>
          <w:color w:val="auto"/>
          <w:sz w:val="24"/>
          <w:szCs w:val="24"/>
          <w:highlight w:val="none"/>
          <w:lang w:val="en-GB" w:eastAsia="zh-CN"/>
        </w:rPr>
        <w:t>投标有效期</w:t>
      </w:r>
      <w:r>
        <w:rPr>
          <w:rFonts w:hint="eastAsia" w:ascii="仿宋" w:hAnsi="仿宋" w:eastAsia="仿宋" w:cs="仿宋"/>
          <w:color w:val="auto"/>
          <w:sz w:val="24"/>
          <w:szCs w:val="24"/>
          <w:highlight w:val="none"/>
          <w:lang w:val="en-GB"/>
        </w:rPr>
        <w:t>超出保函有效期的，</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应提示</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重新开函，未获得有效保函的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其</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将会被视为无效。</w:t>
      </w:r>
    </w:p>
    <w:p w14:paraId="6BFAAD80">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14.</w:t>
      </w:r>
      <w:r>
        <w:rPr>
          <w:rFonts w:hint="eastAsia" w:ascii="仿宋" w:hAnsi="仿宋" w:eastAsia="仿宋" w:cs="仿宋"/>
          <w:color w:val="auto"/>
          <w:highlight w:val="none"/>
          <w:lang w:eastAsia="zh-CN"/>
        </w:rPr>
        <w:t>投标保证金</w:t>
      </w:r>
    </w:p>
    <w:p w14:paraId="213D434B">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14.1</w:t>
      </w:r>
      <w:r>
        <w:rPr>
          <w:rFonts w:hint="eastAsia" w:ascii="仿宋" w:hAnsi="仿宋" w:eastAsia="仿宋" w:cs="仿宋"/>
          <w:color w:val="auto"/>
          <w:sz w:val="24"/>
          <w:szCs w:val="24"/>
          <w:highlight w:val="none"/>
          <w:lang w:val="en-GB"/>
        </w:rPr>
        <w:t xml:space="preserve"> </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在提交</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时，应按《</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须知前附表》规定的金额和提交要求提交</w:t>
      </w:r>
      <w:r>
        <w:rPr>
          <w:rFonts w:hint="eastAsia" w:ascii="仿宋" w:hAnsi="仿宋" w:eastAsia="仿宋" w:cs="仿宋"/>
          <w:color w:val="auto"/>
          <w:sz w:val="24"/>
          <w:szCs w:val="24"/>
          <w:highlight w:val="none"/>
          <w:lang w:val="en-GB" w:eastAsia="zh-CN"/>
        </w:rPr>
        <w:t>投标保证金</w:t>
      </w:r>
      <w:r>
        <w:rPr>
          <w:rFonts w:hint="eastAsia" w:ascii="仿宋" w:hAnsi="仿宋" w:eastAsia="仿宋" w:cs="仿宋"/>
          <w:color w:val="auto"/>
          <w:sz w:val="24"/>
          <w:szCs w:val="24"/>
          <w:highlight w:val="none"/>
          <w:lang w:val="en-GB"/>
        </w:rPr>
        <w:t>，并作为其</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的组成部分。</w:t>
      </w:r>
    </w:p>
    <w:p w14:paraId="433A9F9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14.2</w:t>
      </w:r>
      <w:r>
        <w:rPr>
          <w:rFonts w:hint="eastAsia" w:ascii="仿宋" w:hAnsi="仿宋" w:eastAsia="仿宋" w:cs="仿宋"/>
          <w:color w:val="auto"/>
          <w:sz w:val="24"/>
          <w:szCs w:val="24"/>
          <w:highlight w:val="none"/>
          <w:lang w:val="en-GB" w:eastAsia="zh-CN"/>
        </w:rPr>
        <w:t>投标保证金</w:t>
      </w:r>
      <w:r>
        <w:rPr>
          <w:rFonts w:hint="eastAsia" w:ascii="仿宋" w:hAnsi="仿宋" w:eastAsia="仿宋" w:cs="仿宋"/>
          <w:color w:val="auto"/>
          <w:sz w:val="24"/>
          <w:szCs w:val="24"/>
          <w:highlight w:val="none"/>
          <w:lang w:val="en-GB"/>
        </w:rPr>
        <w:t>的退还：详见《</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须知前附表》规定。</w:t>
      </w:r>
    </w:p>
    <w:p w14:paraId="45A74AE2">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14.3有下列情形之一的，</w:t>
      </w:r>
      <w:r>
        <w:rPr>
          <w:rFonts w:hint="eastAsia" w:ascii="仿宋" w:hAnsi="仿宋" w:eastAsia="仿宋" w:cs="仿宋"/>
          <w:color w:val="auto"/>
          <w:sz w:val="24"/>
          <w:szCs w:val="24"/>
          <w:highlight w:val="none"/>
          <w:lang w:val="en-GB" w:eastAsia="zh-CN"/>
        </w:rPr>
        <w:t>投标保证金</w:t>
      </w:r>
      <w:r>
        <w:rPr>
          <w:rFonts w:hint="eastAsia" w:ascii="仿宋" w:hAnsi="仿宋" w:eastAsia="仿宋" w:cs="仿宋"/>
          <w:color w:val="auto"/>
          <w:sz w:val="24"/>
          <w:szCs w:val="24"/>
          <w:highlight w:val="none"/>
          <w:lang w:val="en-GB"/>
        </w:rPr>
        <w:t>将不予退还：</w:t>
      </w:r>
    </w:p>
    <w:p w14:paraId="29FE6419">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（1）提供虚假材料谋取中标、成交的；</w:t>
      </w:r>
    </w:p>
    <w:p w14:paraId="4BB206EE">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在</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规定的</w:t>
      </w:r>
      <w:r>
        <w:rPr>
          <w:rFonts w:hint="eastAsia" w:ascii="仿宋" w:hAnsi="仿宋" w:eastAsia="仿宋" w:cs="仿宋"/>
          <w:color w:val="auto"/>
          <w:sz w:val="24"/>
          <w:szCs w:val="24"/>
          <w:highlight w:val="none"/>
          <w:lang w:val="en-GB" w:eastAsia="zh-CN"/>
        </w:rPr>
        <w:t>投标有效期</w:t>
      </w:r>
      <w:r>
        <w:rPr>
          <w:rFonts w:hint="eastAsia" w:ascii="仿宋" w:hAnsi="仿宋" w:eastAsia="仿宋" w:cs="仿宋"/>
          <w:color w:val="auto"/>
          <w:sz w:val="24"/>
          <w:szCs w:val="24"/>
          <w:highlight w:val="none"/>
          <w:lang w:val="en-GB"/>
        </w:rPr>
        <w:t>内撤销其</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w:t>
      </w:r>
    </w:p>
    <w:p w14:paraId="69B0AA41">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（3）中标后，无正当理由放弃中标资格；</w:t>
      </w:r>
    </w:p>
    <w:p w14:paraId="57D8F0FF">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（4）中标后，无正当理由不与</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签订合同；</w:t>
      </w:r>
    </w:p>
    <w:p w14:paraId="13983D5E">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（5）法律法规和</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规定的其他情形。</w:t>
      </w:r>
    </w:p>
    <w:p w14:paraId="014B00A0">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15.</w:t>
      </w:r>
      <w:r>
        <w:rPr>
          <w:rFonts w:hint="eastAsia" w:ascii="仿宋" w:hAnsi="仿宋" w:eastAsia="仿宋" w:cs="仿宋"/>
          <w:color w:val="auto"/>
          <w:highlight w:val="none"/>
          <w:lang w:eastAsia="zh-CN"/>
        </w:rPr>
        <w:t>投标文件</w:t>
      </w:r>
      <w:r>
        <w:rPr>
          <w:rFonts w:hint="eastAsia" w:ascii="仿宋" w:hAnsi="仿宋" w:eastAsia="仿宋" w:cs="仿宋"/>
          <w:color w:val="auto"/>
          <w:highlight w:val="none"/>
        </w:rPr>
        <w:t>的数量和签署</w:t>
      </w:r>
    </w:p>
    <w:p w14:paraId="5ACCF584">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lang w:val="en-GB"/>
        </w:rPr>
        <w:t>.1.</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应按“</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须知前附表”的“</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数量”要求执行。</w:t>
      </w:r>
    </w:p>
    <w:p w14:paraId="5FC616D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lang w:val="en-GB"/>
        </w:rPr>
        <w:t>.2.</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的正本需打印或用不褪色墨水，其《法定代表人/负责人授权委托书》应附在</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中。</w:t>
      </w:r>
    </w:p>
    <w:p w14:paraId="3A1854C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lang w:val="en-GB"/>
        </w:rPr>
        <w:t>.3.</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中的任何重要的插字、涂改和增删，必须由法定代表人书写，并由法定代表人/负责人或经其正式授权的代表签字。授权代表须出具书面授权证明/负责人或经其正式授权的代表在旁边签章或签字才有效。</w:t>
      </w:r>
    </w:p>
    <w:p w14:paraId="6F71B93F">
      <w:pPr>
        <w:pStyle w:val="44"/>
        <w:keepNext w:val="0"/>
        <w:keepLines w:val="0"/>
        <w:pageBreakBefore w:val="0"/>
        <w:widowControl w:val="0"/>
        <w:kinsoku/>
        <w:wordWrap w:val="0"/>
        <w:overflowPunct/>
        <w:topLinePunct w:val="0"/>
        <w:autoSpaceDE/>
        <w:autoSpaceDN/>
        <w:bidi w:val="0"/>
        <w:adjustRightInd w:val="0"/>
        <w:snapToGrid w:val="0"/>
        <w:spacing w:before="0" w:after="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四、</w:t>
      </w:r>
      <w:r>
        <w:rPr>
          <w:rFonts w:hint="eastAsia" w:ascii="仿宋" w:hAnsi="仿宋" w:eastAsia="仿宋" w:cs="仿宋"/>
          <w:color w:val="auto"/>
          <w:highlight w:val="none"/>
          <w:lang w:eastAsia="zh-CN"/>
        </w:rPr>
        <w:t>投标文件</w:t>
      </w:r>
      <w:r>
        <w:rPr>
          <w:rFonts w:hint="eastAsia" w:ascii="仿宋" w:hAnsi="仿宋" w:eastAsia="仿宋" w:cs="仿宋"/>
          <w:color w:val="auto"/>
          <w:highlight w:val="none"/>
        </w:rPr>
        <w:t>的递交</w:t>
      </w:r>
    </w:p>
    <w:p w14:paraId="0651A662">
      <w:pPr>
        <w:pStyle w:val="6"/>
        <w:keepNext w:val="0"/>
        <w:keepLines w:val="0"/>
        <w:pageBreakBefore w:val="0"/>
        <w:widowControl w:val="0"/>
        <w:tabs>
          <w:tab w:val="left" w:pos="540"/>
        </w:tabs>
        <w:kinsoku/>
        <w:wordWrap w:val="0"/>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rPr>
        <w:t>16.</w:t>
      </w:r>
      <w:r>
        <w:rPr>
          <w:rFonts w:hint="eastAsia" w:ascii="仿宋" w:hAnsi="仿宋" w:eastAsia="仿宋" w:cs="仿宋"/>
          <w:b/>
          <w:bCs/>
          <w:color w:val="auto"/>
          <w:sz w:val="24"/>
          <w:szCs w:val="24"/>
          <w:highlight w:val="none"/>
          <w:lang w:val="en-US" w:eastAsia="zh-CN"/>
        </w:rPr>
        <w:t>投标</w:t>
      </w:r>
      <w:r>
        <w:rPr>
          <w:rFonts w:hint="eastAsia" w:ascii="仿宋" w:hAnsi="仿宋" w:eastAsia="仿宋" w:cs="仿宋"/>
          <w:b/>
          <w:bCs/>
          <w:color w:val="auto"/>
          <w:sz w:val="24"/>
          <w:szCs w:val="24"/>
          <w:highlight w:val="none"/>
          <w:lang w:val="en-GB"/>
        </w:rPr>
        <w:t>的截止期</w:t>
      </w:r>
    </w:p>
    <w:p w14:paraId="2B7B7E4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16.1</w:t>
      </w:r>
      <w:r>
        <w:rPr>
          <w:rFonts w:hint="eastAsia" w:ascii="仿宋" w:hAnsi="仿宋" w:eastAsia="仿宋" w:cs="仿宋"/>
          <w:color w:val="auto"/>
          <w:sz w:val="24"/>
          <w:szCs w:val="24"/>
          <w:highlight w:val="none"/>
          <w:lang w:val="en-GB"/>
        </w:rPr>
        <w:t>提交</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的截止时间详见采购公告。</w:t>
      </w:r>
    </w:p>
    <w:p w14:paraId="6EA33710">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16.2</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应当在</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要求提交</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的截止时间前，将</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密封送达</w:t>
      </w:r>
      <w:r>
        <w:rPr>
          <w:rFonts w:hint="eastAsia" w:ascii="仿宋" w:hAnsi="仿宋" w:eastAsia="仿宋" w:cs="仿宋"/>
          <w:color w:val="auto"/>
          <w:sz w:val="24"/>
          <w:szCs w:val="24"/>
          <w:highlight w:val="none"/>
          <w:lang w:val="en-US" w:eastAsia="zh-CN"/>
        </w:rPr>
        <w:t>指定</w:t>
      </w:r>
      <w:r>
        <w:rPr>
          <w:rFonts w:hint="eastAsia" w:ascii="仿宋" w:hAnsi="仿宋" w:eastAsia="仿宋" w:cs="仿宋"/>
          <w:color w:val="auto"/>
          <w:sz w:val="24"/>
          <w:szCs w:val="24"/>
          <w:highlight w:val="none"/>
          <w:lang w:val="en-GB"/>
        </w:rPr>
        <w:t>地点。</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收到</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后，如实记载</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的送达时间和密封情况，签收保存，并向</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出具签收回执。任何单位和个人不得在开标前开启</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w:t>
      </w:r>
    </w:p>
    <w:p w14:paraId="62D49548">
      <w:pPr>
        <w:pStyle w:val="6"/>
        <w:keepNext w:val="0"/>
        <w:keepLines w:val="0"/>
        <w:pageBreakBefore w:val="0"/>
        <w:widowControl w:val="0"/>
        <w:tabs>
          <w:tab w:val="left" w:pos="540"/>
        </w:tabs>
        <w:kinsoku/>
        <w:wordWrap w:val="0"/>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rPr>
        <w:t>17.</w:t>
      </w:r>
      <w:r>
        <w:rPr>
          <w:rFonts w:hint="eastAsia" w:ascii="仿宋" w:hAnsi="仿宋" w:eastAsia="仿宋" w:cs="仿宋"/>
          <w:b/>
          <w:bCs/>
          <w:color w:val="auto"/>
          <w:sz w:val="24"/>
          <w:szCs w:val="24"/>
          <w:highlight w:val="none"/>
          <w:lang w:val="en-GB" w:eastAsia="zh-CN"/>
        </w:rPr>
        <w:t>投标文件</w:t>
      </w:r>
      <w:r>
        <w:rPr>
          <w:rFonts w:hint="eastAsia" w:ascii="仿宋" w:hAnsi="仿宋" w:eastAsia="仿宋" w:cs="仿宋"/>
          <w:b/>
          <w:bCs/>
          <w:color w:val="auto"/>
          <w:sz w:val="24"/>
          <w:szCs w:val="24"/>
          <w:highlight w:val="none"/>
          <w:lang w:val="en-GB"/>
        </w:rPr>
        <w:t>的密封和标记</w:t>
      </w:r>
    </w:p>
    <w:p w14:paraId="2AF67AF0">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17.1.为方便开标时唱标，</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应将《开标一览表》一份单独密封提交，并在信封上清晰标明“开标一览表”字样。若此《开标一览表》与</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中的《开标一览表》内容不一致，以</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正本为准。</w:t>
      </w:r>
    </w:p>
    <w:p w14:paraId="2B684699">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17.2.</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的每份文件必须分别固定装订成册（不得采用活页形式），并在文件封面上清楚地标明“正本”或“副本”字样。副本内容可以是正本内容的复印件。若副本与正本不一致，以正本为准。建议</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将</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正本和所有的副本密封包装在同一个密封袋内。</w:t>
      </w:r>
    </w:p>
    <w:p w14:paraId="4125E27E">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17.3.电子光盘或U盘一份单独密封提交，并在信封上清晰标明“</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电子版”字样。</w:t>
      </w:r>
    </w:p>
    <w:p w14:paraId="702C65EB">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17.4.信封或</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外包装上应当注明项目名称、项目编号和“在2025年  月  日  时  分之前不得启封”的字样(可参考《附件二 外包装封面参考格式》)，封口处应加盖</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印章或密封章。</w:t>
      </w:r>
    </w:p>
    <w:p w14:paraId="1F5FD14A">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17.5.逾期送达或者未按照</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要求密封的</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将拒收。</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所提交的</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在评标结束后，无论中标与否都不退还。</w:t>
      </w:r>
    </w:p>
    <w:p w14:paraId="03E318A5">
      <w:pPr>
        <w:pStyle w:val="6"/>
        <w:keepNext w:val="0"/>
        <w:keepLines w:val="0"/>
        <w:pageBreakBefore w:val="0"/>
        <w:widowControl w:val="0"/>
        <w:tabs>
          <w:tab w:val="left" w:pos="540"/>
        </w:tabs>
        <w:kinsoku/>
        <w:wordWrap w:val="0"/>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rPr>
        <w:t>18.</w:t>
      </w:r>
      <w:r>
        <w:rPr>
          <w:rFonts w:hint="eastAsia" w:ascii="仿宋" w:hAnsi="仿宋" w:eastAsia="仿宋" w:cs="仿宋"/>
          <w:b/>
          <w:bCs/>
          <w:color w:val="auto"/>
          <w:sz w:val="24"/>
          <w:szCs w:val="24"/>
          <w:highlight w:val="none"/>
          <w:lang w:val="en-GB" w:eastAsia="zh-CN"/>
        </w:rPr>
        <w:t>投标文件</w:t>
      </w:r>
      <w:r>
        <w:rPr>
          <w:rFonts w:hint="eastAsia" w:ascii="仿宋" w:hAnsi="仿宋" w:eastAsia="仿宋" w:cs="仿宋"/>
          <w:b/>
          <w:bCs/>
          <w:color w:val="auto"/>
          <w:sz w:val="24"/>
          <w:szCs w:val="24"/>
          <w:highlight w:val="none"/>
          <w:lang w:val="en-GB"/>
        </w:rPr>
        <w:t>的补充、修改或者撤回</w:t>
      </w:r>
    </w:p>
    <w:p w14:paraId="50F82619">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18.1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提交投标文件截止时间</w:t>
      </w:r>
      <w:r>
        <w:rPr>
          <w:rFonts w:hint="eastAsia" w:ascii="仿宋" w:hAnsi="仿宋" w:eastAsia="仿宋" w:cs="仿宋"/>
          <w:color w:val="auto"/>
          <w:sz w:val="24"/>
          <w:szCs w:val="24"/>
          <w:highlight w:val="none"/>
        </w:rPr>
        <w:t>前，可以对所递交的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进行补充、修改或者撤回，并书面通知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。补充、修改的内容应当按照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要求签署、盖章、密封后，作为</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的组成部分。</w:t>
      </w:r>
    </w:p>
    <w:p w14:paraId="5CDE9F4A">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lang w:val="en-GB"/>
        </w:rPr>
        <w:t>.2在提交</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截止时间后，</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不得</w:t>
      </w:r>
      <w:r>
        <w:rPr>
          <w:rFonts w:hint="eastAsia" w:ascii="仿宋" w:hAnsi="仿宋" w:eastAsia="仿宋" w:cs="仿宋"/>
          <w:color w:val="auto"/>
          <w:sz w:val="24"/>
          <w:szCs w:val="24"/>
          <w:highlight w:val="none"/>
          <w:lang w:val="en-US" w:eastAsia="zh-CN"/>
        </w:rPr>
        <w:t>撤回、</w:t>
      </w:r>
      <w:r>
        <w:rPr>
          <w:rFonts w:hint="eastAsia" w:ascii="仿宋" w:hAnsi="仿宋" w:eastAsia="仿宋" w:cs="仿宋"/>
          <w:color w:val="auto"/>
          <w:sz w:val="24"/>
          <w:szCs w:val="24"/>
          <w:highlight w:val="none"/>
          <w:lang w:val="en-GB"/>
        </w:rPr>
        <w:t>补充、修改和更换</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w:t>
      </w:r>
    </w:p>
    <w:p w14:paraId="0DF76F8B">
      <w:pPr>
        <w:pStyle w:val="44"/>
        <w:keepNext w:val="0"/>
        <w:keepLines w:val="0"/>
        <w:pageBreakBefore w:val="0"/>
        <w:widowControl w:val="0"/>
        <w:kinsoku/>
        <w:wordWrap w:val="0"/>
        <w:overflowPunct/>
        <w:topLinePunct w:val="0"/>
        <w:autoSpaceDE/>
        <w:autoSpaceDN/>
        <w:bidi w:val="0"/>
        <w:adjustRightInd w:val="0"/>
        <w:snapToGrid w:val="0"/>
        <w:spacing w:before="0" w:after="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五、开标、评标定标（详见后附《评审细则》）</w:t>
      </w:r>
    </w:p>
    <w:p w14:paraId="235DEFEE">
      <w:pPr>
        <w:pStyle w:val="6"/>
        <w:keepNext w:val="0"/>
        <w:keepLines w:val="0"/>
        <w:pageBreakBefore w:val="0"/>
        <w:widowControl w:val="0"/>
        <w:tabs>
          <w:tab w:val="left" w:pos="540"/>
        </w:tabs>
        <w:kinsoku/>
        <w:wordWrap w:val="0"/>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lang w:val="en-GB"/>
        </w:rPr>
      </w:pPr>
      <w:bookmarkStart w:id="36" w:name="_Toc14116"/>
      <w:bookmarkStart w:id="37" w:name="_Toc6898"/>
      <w:bookmarkStart w:id="38" w:name="_Toc267405540"/>
      <w:bookmarkStart w:id="39" w:name="_Toc406136460"/>
      <w:r>
        <w:rPr>
          <w:rFonts w:hint="eastAsia" w:ascii="仿宋" w:hAnsi="仿宋" w:eastAsia="仿宋" w:cs="仿宋"/>
          <w:b/>
          <w:bCs/>
          <w:color w:val="auto"/>
          <w:sz w:val="24"/>
          <w:szCs w:val="24"/>
          <w:highlight w:val="none"/>
        </w:rPr>
        <w:t>19.</w:t>
      </w:r>
      <w:r>
        <w:rPr>
          <w:rFonts w:hint="eastAsia" w:ascii="仿宋" w:hAnsi="仿宋" w:eastAsia="仿宋" w:cs="仿宋"/>
          <w:b/>
          <w:bCs/>
          <w:color w:val="auto"/>
          <w:sz w:val="24"/>
          <w:szCs w:val="24"/>
          <w:highlight w:val="none"/>
          <w:lang w:val="en-GB"/>
        </w:rPr>
        <w:t>开标会</w:t>
      </w:r>
      <w:bookmarkEnd w:id="36"/>
      <w:bookmarkEnd w:id="37"/>
    </w:p>
    <w:p w14:paraId="52C72465">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19.1</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按</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规定的时间和地点（</w:t>
      </w:r>
      <w:r>
        <w:rPr>
          <w:rFonts w:hint="eastAsia" w:ascii="仿宋" w:hAnsi="仿宋" w:eastAsia="仿宋" w:cs="仿宋"/>
          <w:color w:val="auto"/>
          <w:sz w:val="24"/>
          <w:szCs w:val="24"/>
          <w:highlight w:val="none"/>
        </w:rPr>
        <w:t xml:space="preserve">详见《第一部分   </w:t>
      </w:r>
      <w:r>
        <w:rPr>
          <w:rFonts w:hint="eastAsia" w:ascii="仿宋" w:hAnsi="仿宋" w:eastAsia="仿宋" w:cs="仿宋"/>
          <w:color w:val="auto"/>
          <w:sz w:val="24"/>
          <w:szCs w:val="24"/>
          <w:highlight w:val="none"/>
          <w:lang w:eastAsia="zh-CN"/>
        </w:rPr>
        <w:t>投标邀请函</w:t>
      </w:r>
      <w:r>
        <w:rPr>
          <w:rFonts w:hint="eastAsia" w:ascii="仿宋" w:hAnsi="仿宋" w:eastAsia="仿宋" w:cs="仿宋"/>
          <w:color w:val="auto"/>
          <w:sz w:val="24"/>
          <w:szCs w:val="24"/>
          <w:highlight w:val="none"/>
        </w:rPr>
        <w:t>》内容</w:t>
      </w:r>
      <w:r>
        <w:rPr>
          <w:rFonts w:hint="eastAsia" w:ascii="仿宋" w:hAnsi="仿宋" w:eastAsia="仿宋" w:cs="仿宋"/>
          <w:color w:val="auto"/>
          <w:sz w:val="24"/>
          <w:szCs w:val="24"/>
          <w:highlight w:val="none"/>
          <w:lang w:val="en-GB"/>
        </w:rPr>
        <w:t>）组织主持开标会，邀请</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 xml:space="preserve">等有关代表参加。 </w:t>
      </w:r>
    </w:p>
    <w:p w14:paraId="4C9EA125">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19.2</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递交</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时间截止后，</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或</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宣布</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US" w:eastAsia="zh-CN"/>
        </w:rPr>
        <w:t>和投标保证金</w:t>
      </w:r>
      <w:r>
        <w:rPr>
          <w:rFonts w:hint="eastAsia" w:ascii="仿宋" w:hAnsi="仿宋" w:eastAsia="仿宋" w:cs="仿宋"/>
          <w:color w:val="auto"/>
          <w:sz w:val="24"/>
          <w:szCs w:val="24"/>
          <w:highlight w:val="none"/>
          <w:lang w:val="en-GB"/>
        </w:rPr>
        <w:t>递交情况。没有递交</w:t>
      </w:r>
      <w:r>
        <w:rPr>
          <w:rFonts w:hint="eastAsia" w:ascii="仿宋" w:hAnsi="仿宋" w:eastAsia="仿宋" w:cs="仿宋"/>
          <w:color w:val="auto"/>
          <w:sz w:val="24"/>
          <w:szCs w:val="24"/>
          <w:highlight w:val="none"/>
          <w:lang w:val="en-GB" w:eastAsia="zh-CN"/>
        </w:rPr>
        <w:t>投标保证金</w:t>
      </w:r>
      <w:r>
        <w:rPr>
          <w:rFonts w:hint="eastAsia" w:ascii="仿宋" w:hAnsi="仿宋" w:eastAsia="仿宋" w:cs="仿宋"/>
          <w:color w:val="auto"/>
          <w:sz w:val="24"/>
          <w:szCs w:val="24"/>
          <w:highlight w:val="none"/>
          <w:lang w:val="en-GB"/>
        </w:rPr>
        <w:t>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，不接受其</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，原封退回其</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资料。</w:t>
      </w:r>
    </w:p>
    <w:p w14:paraId="523189CA">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19.3</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开标时，经确认</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的密封情况后，由</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工作人员当众拆封，宣布</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名称、</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价格和</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规定的需要宣布的其他内容。</w:t>
      </w:r>
    </w:p>
    <w:p w14:paraId="06B89AF6">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19.4</w:t>
      </w:r>
      <w:r>
        <w:rPr>
          <w:rFonts w:hint="eastAsia" w:ascii="仿宋" w:hAnsi="仿宋" w:eastAsia="仿宋" w:cs="仿宋"/>
          <w:color w:val="auto"/>
          <w:sz w:val="24"/>
          <w:szCs w:val="24"/>
          <w:highlight w:val="none"/>
          <w:lang w:val="en-GB"/>
        </w:rPr>
        <w:t>开标过程由</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负责记录，由参加开标的各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代表和相关工作人员签字确认后随</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一并存档。</w:t>
      </w:r>
    </w:p>
    <w:p w14:paraId="0491B0E4">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19.</w:t>
      </w:r>
      <w:r>
        <w:rPr>
          <w:rFonts w:hint="eastAsia"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所提交的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拆封</w:t>
      </w:r>
      <w:r>
        <w:rPr>
          <w:rFonts w:hint="eastAsia" w:ascii="仿宋" w:hAnsi="仿宋" w:eastAsia="仿宋" w:cs="仿宋"/>
          <w:color w:val="auto"/>
          <w:sz w:val="24"/>
          <w:szCs w:val="24"/>
          <w:highlight w:val="none"/>
          <w:lang w:val="en-GB"/>
        </w:rPr>
        <w:t>后，无论其中标与否都不退还。</w:t>
      </w:r>
    </w:p>
    <w:p w14:paraId="3CE49C29">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19.6</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代表对开标过程和开标记录有疑义，以及认为</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相关工作人员有需要回避的情形的，应当场提出询问或者回避申请。</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未参加开标的，视同认可开标结果。</w:t>
      </w:r>
    </w:p>
    <w:p w14:paraId="5E105B35">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19.7</w:t>
      </w:r>
      <w:r>
        <w:rPr>
          <w:rFonts w:hint="eastAsia" w:ascii="仿宋" w:hAnsi="仿宋" w:eastAsia="仿宋" w:cs="仿宋"/>
          <w:color w:val="auto"/>
          <w:sz w:val="24"/>
          <w:szCs w:val="24"/>
          <w:highlight w:val="none"/>
          <w:lang w:val="en-GB" w:eastAsia="zh-CN"/>
        </w:rPr>
        <w:t>提交投标文件截止时间</w:t>
      </w:r>
      <w:r>
        <w:rPr>
          <w:rFonts w:hint="eastAsia" w:ascii="仿宋" w:hAnsi="仿宋" w:eastAsia="仿宋" w:cs="仿宋"/>
          <w:color w:val="auto"/>
          <w:sz w:val="24"/>
          <w:szCs w:val="24"/>
          <w:highlight w:val="none"/>
          <w:lang w:val="en-GB"/>
        </w:rPr>
        <w:t>后，</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不足须知前附表中约定的有效</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家数的，不得开标。同时，本次</w:t>
      </w:r>
      <w:r>
        <w:rPr>
          <w:rFonts w:hint="eastAsia" w:ascii="仿宋" w:hAnsi="仿宋" w:eastAsia="仿宋" w:cs="仿宋"/>
          <w:color w:val="auto"/>
          <w:sz w:val="24"/>
          <w:szCs w:val="24"/>
          <w:highlight w:val="none"/>
          <w:lang w:val="en-GB" w:eastAsia="zh-CN"/>
        </w:rPr>
        <w:t>采购活动</w:t>
      </w:r>
      <w:r>
        <w:rPr>
          <w:rFonts w:hint="eastAsia" w:ascii="仿宋" w:hAnsi="仿宋" w:eastAsia="仿宋" w:cs="仿宋"/>
          <w:color w:val="auto"/>
          <w:sz w:val="24"/>
          <w:szCs w:val="24"/>
          <w:highlight w:val="none"/>
          <w:lang w:val="en-GB"/>
        </w:rPr>
        <w:t>结束。</w:t>
      </w:r>
    </w:p>
    <w:p w14:paraId="0674136E">
      <w:pPr>
        <w:pStyle w:val="6"/>
        <w:keepNext w:val="0"/>
        <w:keepLines w:val="0"/>
        <w:pageBreakBefore w:val="0"/>
        <w:widowControl w:val="0"/>
        <w:tabs>
          <w:tab w:val="left" w:pos="540"/>
        </w:tabs>
        <w:kinsoku/>
        <w:wordWrap w:val="0"/>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rPr>
        <w:t>20.</w:t>
      </w:r>
      <w:r>
        <w:rPr>
          <w:rFonts w:hint="eastAsia" w:ascii="仿宋" w:hAnsi="仿宋" w:eastAsia="仿宋" w:cs="仿宋"/>
          <w:b/>
          <w:bCs/>
          <w:color w:val="auto"/>
          <w:sz w:val="24"/>
          <w:szCs w:val="24"/>
          <w:highlight w:val="none"/>
          <w:lang w:val="en-GB"/>
        </w:rPr>
        <w:t>评标委员会的组成及评审工作要求</w:t>
      </w:r>
    </w:p>
    <w:p w14:paraId="7C7D5536">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20.1</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根据项目的特点和专业技术要求依法组建评标委员会。评标委员会由</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代表（</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val="en-GB"/>
        </w:rPr>
        <w:t>）和评审专家组成，其中评审专家应当从广东省综合评标评审专家库中随机抽取。</w:t>
      </w:r>
    </w:p>
    <w:p w14:paraId="0F55C0F7">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20.2</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有下列情形之一的，不得担任评标委员会成员，如事先不知情的，应在宣读</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名单及评标纪律后主动提出回避：</w:t>
      </w:r>
    </w:p>
    <w:p w14:paraId="26592180">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（1）是</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主要负责人的近亲属；</w:t>
      </w:r>
    </w:p>
    <w:p w14:paraId="574A2F47">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（2）是该</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的项目主管部门或是该</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的行政监督部门的人员；</w:t>
      </w:r>
    </w:p>
    <w:p w14:paraId="6BDCF112">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（3）与</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有经济利益关系，可能影响对</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公正评审的；</w:t>
      </w:r>
    </w:p>
    <w:p w14:paraId="3645F56E">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（4）曾因在招标、评标以及其他与招标投标有关活动中从事违法行为而受过行政处罚或刑事处罚的。</w:t>
      </w:r>
    </w:p>
    <w:p w14:paraId="12915CBE">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20.3</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评标原则</w:t>
      </w:r>
    </w:p>
    <w:p w14:paraId="2D02960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GB"/>
        </w:rPr>
        <w:t>）评标活动遵循公平、公正、科学和择优的原则，以</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和</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为评标的基本依据，并按照</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规定的评标方法和评标标准进行评标。</w:t>
      </w:r>
    </w:p>
    <w:p w14:paraId="0A3BDD60">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GB"/>
        </w:rPr>
        <w:t>）具体评标事项由评标委员会负责，并按</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的规定办法进行评审。</w:t>
      </w:r>
    </w:p>
    <w:p w14:paraId="38E33BD0">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20.4</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评审期间，</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、评标委员会不得对</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中一些涉及竞争的公平、公正性重要内容（包括带“★”项）进行现场临时修改调整，也不得单独与</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进行联系接触。</w:t>
      </w:r>
    </w:p>
    <w:p w14:paraId="219524FC">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20.5</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各方当事人、专家成员如对</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及相关补充文件的理解存有歧义时，评标委员会可对这些文件或向有关方面进行查证了解质询，通过集体讨论或表决达成一致处理意见。任何形式的决定，须以合法公正和有利于项目的安全顺利实施为前提。</w:t>
      </w:r>
    </w:p>
    <w:p w14:paraId="3E5BC9FA">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20.6</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关于保密</w:t>
      </w:r>
    </w:p>
    <w:p w14:paraId="646B833D">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rPr>
        <w:t>评标委员会成员和与评标活动有关的工作人员不得透露对</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的评审</w:t>
      </w:r>
      <w:r>
        <w:rPr>
          <w:rFonts w:hint="eastAsia" w:ascii="仿宋" w:hAnsi="仿宋" w:eastAsia="仿宋" w:cs="仿宋"/>
          <w:color w:val="auto"/>
          <w:sz w:val="24"/>
          <w:szCs w:val="24"/>
          <w:highlight w:val="none"/>
        </w:rPr>
        <w:t>和比较、</w:t>
      </w:r>
      <w:r>
        <w:rPr>
          <w:rFonts w:hint="eastAsia" w:ascii="仿宋" w:hAnsi="仿宋" w:eastAsia="仿宋" w:cs="仿宋"/>
          <w:color w:val="auto"/>
          <w:sz w:val="24"/>
          <w:szCs w:val="24"/>
          <w:highlight w:val="none"/>
          <w:lang w:eastAsia="zh-CN"/>
        </w:rPr>
        <w:t>中标候选人</w:t>
      </w:r>
      <w:r>
        <w:rPr>
          <w:rFonts w:hint="eastAsia" w:ascii="仿宋" w:hAnsi="仿宋" w:eastAsia="仿宋" w:cs="仿宋"/>
          <w:color w:val="auto"/>
          <w:sz w:val="24"/>
          <w:szCs w:val="24"/>
          <w:highlight w:val="none"/>
        </w:rPr>
        <w:t>的推荐情况以及评标有关的其他情况。</w:t>
      </w:r>
    </w:p>
    <w:p w14:paraId="1D9DE3E9">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前款所称与评标活动有关的工作人员，是指评标委员会成员以外的因参与评标监督工作或者事务性工作而知悉有关评标情况的所有人员。</w:t>
      </w:r>
    </w:p>
    <w:p w14:paraId="21C6E437">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20.7 评标应遵守下列评标纪律：</w:t>
      </w:r>
    </w:p>
    <w:p w14:paraId="245F7FD1">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（1）评标情况不得私自外泄，有关信息由</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统一对外发布。</w:t>
      </w:r>
    </w:p>
    <w:p w14:paraId="4A485666">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提供的要求保密的资料，不得摘记翻印和外传。</w:t>
      </w:r>
    </w:p>
    <w:p w14:paraId="5344DB16">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（3）不得收受</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或有关人员的任何礼物，不得串联鼓动其他人袒护某</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。若与</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存在利害关系，则应主动声明并回避。</w:t>
      </w:r>
    </w:p>
    <w:p w14:paraId="7CB6FEC9">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（4）全体评委应按照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规定进行评标，一切认定事项应查有实据且不得弄虚作假。</w:t>
      </w:r>
    </w:p>
    <w:p w14:paraId="3702EBE6">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（5）评标委员会各成员对评价意见承担个人责任。评审过程中，不得发表倾向性言论。</w:t>
      </w:r>
    </w:p>
    <w:p w14:paraId="00CB90B4">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※对违反评标纪律的评委，将取消其评委资格，对评标工作造成严重损失者将予以通报批评乃至追究法律责任。</w:t>
      </w:r>
    </w:p>
    <w:p w14:paraId="4C39A58C">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20.8 关于评标责任</w:t>
      </w:r>
    </w:p>
    <w:p w14:paraId="20109E26">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（1）评委应在其书面评审意见上签字确认；</w:t>
      </w:r>
    </w:p>
    <w:p w14:paraId="25FB4CE4">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（2）评标委员会成员不得参加开标活动。</w:t>
      </w:r>
    </w:p>
    <w:p w14:paraId="07FACA57">
      <w:pPr>
        <w:pStyle w:val="6"/>
        <w:keepNext w:val="0"/>
        <w:keepLines w:val="0"/>
        <w:pageBreakBefore w:val="0"/>
        <w:widowControl w:val="0"/>
        <w:tabs>
          <w:tab w:val="left" w:pos="540"/>
        </w:tabs>
        <w:kinsoku/>
        <w:wordWrap w:val="0"/>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21.资格审查及评标</w:t>
      </w:r>
    </w:p>
    <w:p w14:paraId="67431F6E">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详见《附件一 评审细则》内容。</w:t>
      </w:r>
    </w:p>
    <w:p w14:paraId="6BEC394E">
      <w:pPr>
        <w:pStyle w:val="44"/>
        <w:keepNext w:val="0"/>
        <w:keepLines w:val="0"/>
        <w:pageBreakBefore w:val="0"/>
        <w:widowControl w:val="0"/>
        <w:kinsoku/>
        <w:wordWrap w:val="0"/>
        <w:overflowPunct/>
        <w:topLinePunct w:val="0"/>
        <w:autoSpaceDE/>
        <w:autoSpaceDN/>
        <w:bidi w:val="0"/>
        <w:adjustRightInd w:val="0"/>
        <w:snapToGrid w:val="0"/>
        <w:spacing w:before="0" w:after="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六、评审结果确定</w:t>
      </w:r>
    </w:p>
    <w:p w14:paraId="3D632324">
      <w:pPr>
        <w:pStyle w:val="6"/>
        <w:keepNext w:val="0"/>
        <w:keepLines w:val="0"/>
        <w:pageBreakBefore w:val="0"/>
        <w:widowControl w:val="0"/>
        <w:tabs>
          <w:tab w:val="left" w:pos="540"/>
        </w:tabs>
        <w:kinsoku/>
        <w:wordWrap w:val="0"/>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22.确定评审结果</w:t>
      </w:r>
    </w:p>
    <w:p w14:paraId="43604ADB">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22.1 </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应当在评标结束后2个工作日内将评标报告送</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p>
    <w:p w14:paraId="50C5E442">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22.2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应当自收到评标报告之日起５个工作日内，在评标报告确定的</w:t>
      </w:r>
      <w:r>
        <w:rPr>
          <w:rFonts w:hint="eastAsia" w:ascii="仿宋" w:hAnsi="仿宋" w:eastAsia="仿宋" w:cs="仿宋"/>
          <w:color w:val="auto"/>
          <w:sz w:val="24"/>
          <w:szCs w:val="24"/>
          <w:highlight w:val="none"/>
          <w:lang w:eastAsia="zh-CN"/>
        </w:rPr>
        <w:t>中标候选人</w:t>
      </w:r>
      <w:r>
        <w:rPr>
          <w:rFonts w:hint="eastAsia" w:ascii="仿宋" w:hAnsi="仿宋" w:eastAsia="仿宋" w:cs="仿宋"/>
          <w:color w:val="auto"/>
          <w:sz w:val="24"/>
          <w:szCs w:val="24"/>
          <w:highlight w:val="none"/>
        </w:rPr>
        <w:t>名单中按</w:t>
      </w:r>
      <w:r>
        <w:rPr>
          <w:rFonts w:hint="eastAsia" w:ascii="仿宋" w:hAnsi="仿宋" w:eastAsia="仿宋" w:cs="仿宋"/>
          <w:color w:val="auto"/>
          <w:sz w:val="24"/>
          <w:szCs w:val="24"/>
          <w:highlight w:val="none"/>
          <w:lang w:val="en-US" w:eastAsia="zh-CN"/>
        </w:rPr>
        <w:t>定标规则</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w:t>
      </w:r>
    </w:p>
    <w:p w14:paraId="6A09B5C1">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22.3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在收到评标报告5个工作日内未按</w:t>
      </w:r>
      <w:r>
        <w:rPr>
          <w:rFonts w:hint="eastAsia" w:ascii="仿宋" w:hAnsi="仿宋" w:eastAsia="仿宋" w:cs="仿宋"/>
          <w:color w:val="auto"/>
          <w:sz w:val="24"/>
          <w:szCs w:val="24"/>
          <w:highlight w:val="none"/>
          <w:lang w:val="en-US" w:eastAsia="zh-CN"/>
        </w:rPr>
        <w:t>规定</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，又不能说明合法理由的，视同按</w:t>
      </w:r>
      <w:r>
        <w:rPr>
          <w:rFonts w:hint="eastAsia" w:ascii="仿宋" w:hAnsi="仿宋" w:eastAsia="仿宋" w:cs="仿宋"/>
          <w:color w:val="auto"/>
          <w:sz w:val="24"/>
          <w:szCs w:val="24"/>
          <w:highlight w:val="none"/>
          <w:lang w:val="en-US" w:eastAsia="zh-CN"/>
        </w:rPr>
        <w:t>定标规则</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w:t>
      </w:r>
    </w:p>
    <w:p w14:paraId="35424927">
      <w:pPr>
        <w:pStyle w:val="6"/>
        <w:keepNext w:val="0"/>
        <w:keepLines w:val="0"/>
        <w:pageBreakBefore w:val="0"/>
        <w:widowControl w:val="0"/>
        <w:tabs>
          <w:tab w:val="left" w:pos="540"/>
        </w:tabs>
        <w:kinsoku/>
        <w:wordWrap w:val="0"/>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23.中标通知</w:t>
      </w:r>
    </w:p>
    <w:p w14:paraId="7D21B02D">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自</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确定之日起2个工作日内，在指定媒体上公告中标结果，并同时向</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发出</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。不在中标名单之列者即为落标人，</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不再以其他方式另行通知。</w:t>
      </w:r>
    </w:p>
    <w:p w14:paraId="529224AE">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》将作为授予合同资格的唯一合法依据。</w:t>
      </w:r>
    </w:p>
    <w:p w14:paraId="4ABCE4A2">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发出后，</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无正当理由不得放弃中标。否则，应当依法承担相应的法律责任，并赔偿</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由此所造成的一切经济损失。</w:t>
      </w:r>
    </w:p>
    <w:p w14:paraId="785D211C">
      <w:pPr>
        <w:spacing w:line="360" w:lineRule="auto"/>
        <w:ind w:left="0" w:leftChars="0" w:firstLine="422" w:firstLineChars="17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24.询问</w:t>
      </w:r>
      <w:r>
        <w:rPr>
          <w:rFonts w:hint="eastAsia" w:ascii="仿宋" w:hAnsi="仿宋" w:eastAsia="仿宋" w:cs="仿宋"/>
          <w:b/>
          <w:bCs/>
          <w:color w:val="auto"/>
          <w:sz w:val="24"/>
          <w:szCs w:val="24"/>
          <w:highlight w:val="none"/>
          <w:lang w:val="en-US" w:eastAsia="zh-CN"/>
        </w:rPr>
        <w:t>与</w:t>
      </w:r>
      <w:r>
        <w:rPr>
          <w:rFonts w:hint="eastAsia" w:ascii="仿宋" w:hAnsi="仿宋" w:eastAsia="仿宋" w:cs="仿宋"/>
          <w:b/>
          <w:bCs/>
          <w:color w:val="auto"/>
          <w:sz w:val="24"/>
          <w:szCs w:val="24"/>
          <w:highlight w:val="none"/>
        </w:rPr>
        <w:t>质疑</w:t>
      </w:r>
    </w:p>
    <w:p w14:paraId="35119A79">
      <w:pPr>
        <w:pStyle w:val="6"/>
        <w:tabs>
          <w:tab w:val="left" w:pos="540"/>
        </w:tabs>
        <w:wordWrap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24.1</w:t>
      </w:r>
      <w:r>
        <w:rPr>
          <w:rFonts w:hint="eastAsia" w:ascii="仿宋" w:hAnsi="仿宋" w:eastAsia="仿宋" w:cs="仿宋"/>
          <w:b/>
          <w:bCs/>
          <w:color w:val="auto"/>
          <w:sz w:val="24"/>
          <w:szCs w:val="24"/>
          <w:highlight w:val="none"/>
        </w:rPr>
        <w:t>询问</w:t>
      </w:r>
    </w:p>
    <w:p w14:paraId="6835A336">
      <w:pPr>
        <w:spacing w:line="360" w:lineRule="auto"/>
        <w:ind w:left="0" w:leftChars="0" w:firstLine="420" w:firstLineChars="175"/>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eastAsia="zh-CN"/>
        </w:rPr>
        <w:t>供应商</w:t>
      </w:r>
      <w:r>
        <w:rPr>
          <w:rFonts w:hint="eastAsia" w:ascii="仿宋" w:hAnsi="仿宋" w:eastAsia="仿宋" w:cs="仿宋"/>
          <w:color w:val="auto"/>
          <w:sz w:val="24"/>
          <w:szCs w:val="24"/>
          <w:highlight w:val="none"/>
          <w:lang w:val="en-GB"/>
        </w:rPr>
        <w:t>对采购活动事项（</w:t>
      </w:r>
      <w:r>
        <w:rPr>
          <w:rFonts w:hint="eastAsia" w:ascii="仿宋" w:hAnsi="仿宋" w:eastAsia="仿宋" w:cs="仿宋"/>
          <w:color w:val="auto"/>
          <w:sz w:val="24"/>
          <w:szCs w:val="24"/>
          <w:highlight w:val="none"/>
          <w:lang w:val="en-GB" w:eastAsia="zh-CN"/>
        </w:rPr>
        <w:t>磋商文件</w:t>
      </w:r>
      <w:r>
        <w:rPr>
          <w:rFonts w:hint="eastAsia" w:ascii="仿宋" w:hAnsi="仿宋" w:eastAsia="仿宋" w:cs="仿宋"/>
          <w:color w:val="auto"/>
          <w:sz w:val="24"/>
          <w:szCs w:val="24"/>
          <w:highlight w:val="none"/>
          <w:lang w:val="en-GB"/>
        </w:rPr>
        <w:t>、采购过程和</w:t>
      </w:r>
      <w:r>
        <w:rPr>
          <w:rFonts w:hint="eastAsia" w:ascii="仿宋" w:hAnsi="仿宋" w:eastAsia="仿宋" w:cs="仿宋"/>
          <w:color w:val="auto"/>
          <w:sz w:val="24"/>
          <w:szCs w:val="24"/>
          <w:highlight w:val="none"/>
          <w:lang w:val="en-GB" w:eastAsia="zh-CN"/>
        </w:rPr>
        <w:t>成交结果</w:t>
      </w:r>
      <w:r>
        <w:rPr>
          <w:rFonts w:hint="eastAsia" w:ascii="仿宋" w:hAnsi="仿宋" w:eastAsia="仿宋" w:cs="仿宋"/>
          <w:color w:val="auto"/>
          <w:sz w:val="24"/>
          <w:szCs w:val="24"/>
          <w:highlight w:val="none"/>
          <w:lang w:val="en-GB"/>
        </w:rPr>
        <w:t>）有疑问的，可以向采购人或采购代理机构提出询问，采购人或采购代理机构将及时作出答复，但答复的内容不涉及商业秘密。</w:t>
      </w:r>
      <w:r>
        <w:rPr>
          <w:rFonts w:hint="eastAsia" w:ascii="仿宋" w:hAnsi="仿宋" w:eastAsia="仿宋" w:cs="仿宋"/>
          <w:color w:val="auto"/>
          <w:sz w:val="24"/>
          <w:szCs w:val="24"/>
          <w:highlight w:val="none"/>
        </w:rPr>
        <w:t>询问联系方式见《</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邀请函》中“采购人、采购代理机构的名称、地址和联系方式”。受理方式</w:t>
      </w:r>
      <w:r>
        <w:rPr>
          <w:rFonts w:hint="eastAsia" w:ascii="仿宋" w:hAnsi="仿宋" w:eastAsia="仿宋" w:cs="仿宋"/>
          <w:color w:val="auto"/>
          <w:sz w:val="24"/>
          <w:szCs w:val="24"/>
          <w:highlight w:val="none"/>
          <w:lang w:val="en-US" w:eastAsia="zh-CN"/>
        </w:rPr>
        <w:t>详见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邀请函》中</w:t>
      </w:r>
      <w:r>
        <w:rPr>
          <w:rFonts w:hint="eastAsia" w:ascii="仿宋" w:hAnsi="仿宋" w:eastAsia="仿宋" w:cs="仿宋"/>
          <w:color w:val="auto"/>
          <w:sz w:val="24"/>
          <w:szCs w:val="24"/>
          <w:highlight w:val="none"/>
          <w:lang w:val="en-US" w:eastAsia="zh-CN"/>
        </w:rPr>
        <w:t>“询问受理方式”内容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rPr>
        <w:t>询问函格式可参考《询问函格式》内容</w:t>
      </w:r>
      <w:r>
        <w:rPr>
          <w:rFonts w:hint="eastAsia" w:ascii="仿宋" w:hAnsi="仿宋" w:eastAsia="仿宋" w:cs="仿宋"/>
          <w:color w:val="auto"/>
          <w:sz w:val="24"/>
          <w:szCs w:val="24"/>
          <w:highlight w:val="none"/>
          <w:lang w:val="en-GB"/>
        </w:rPr>
        <w:t>）</w:t>
      </w:r>
    </w:p>
    <w:p w14:paraId="267406F3">
      <w:pPr>
        <w:pStyle w:val="6"/>
        <w:widowControl/>
        <w:wordWrap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bidi="ar"/>
        </w:rPr>
        <w:t>询问函格式</w:t>
      </w:r>
    </w:p>
    <w:p w14:paraId="33835354">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lang w:bidi="ar"/>
        </w:rPr>
        <w:t>关于（采购人）的</w:t>
      </w:r>
      <w:r>
        <w:rPr>
          <w:rFonts w:hint="eastAsia" w:ascii="仿宋" w:hAnsi="仿宋" w:eastAsia="仿宋" w:cs="仿宋"/>
          <w:b/>
          <w:color w:val="auto"/>
          <w:kern w:val="0"/>
          <w:sz w:val="24"/>
          <w:szCs w:val="24"/>
          <w:highlight w:val="none"/>
          <w:lang w:eastAsia="zh-CN" w:bidi="ar"/>
        </w:rPr>
        <w:t>桂城街道叠北社区市政管理一体化服务</w:t>
      </w:r>
      <w:r>
        <w:rPr>
          <w:rFonts w:hint="eastAsia" w:ascii="仿宋" w:hAnsi="仿宋" w:eastAsia="仿宋" w:cs="仿宋"/>
          <w:b/>
          <w:color w:val="auto"/>
          <w:kern w:val="0"/>
          <w:sz w:val="24"/>
          <w:szCs w:val="24"/>
          <w:highlight w:val="none"/>
          <w:lang w:bidi="ar"/>
        </w:rPr>
        <w:t xml:space="preserve">的询问函 </w:t>
      </w:r>
    </w:p>
    <w:p w14:paraId="12D838AF">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(可根据询问事项增加或删减) </w:t>
      </w:r>
    </w:p>
    <w:p w14:paraId="1658B68C">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采购人名称/采购代理机构 ： </w:t>
      </w:r>
    </w:p>
    <w:p w14:paraId="78801559">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我单位已报名并准备参与</w:t>
      </w:r>
      <w:r>
        <w:rPr>
          <w:rFonts w:hint="eastAsia" w:ascii="仿宋" w:hAnsi="仿宋" w:eastAsia="仿宋" w:cs="仿宋"/>
          <w:color w:val="auto"/>
          <w:kern w:val="0"/>
          <w:sz w:val="24"/>
          <w:szCs w:val="24"/>
          <w:highlight w:val="none"/>
          <w:u w:val="single"/>
          <w:lang w:eastAsia="zh-CN" w:bidi="ar"/>
        </w:rPr>
        <w:t>桂城街道叠北社区市政管理一体化服务</w:t>
      </w:r>
      <w:r>
        <w:rPr>
          <w:rFonts w:hint="eastAsia" w:ascii="仿宋" w:hAnsi="仿宋" w:eastAsia="仿宋" w:cs="仿宋"/>
          <w:color w:val="auto"/>
          <w:kern w:val="0"/>
          <w:sz w:val="24"/>
          <w:szCs w:val="24"/>
          <w:highlight w:val="none"/>
          <w:lang w:bidi="ar"/>
        </w:rPr>
        <w:t>项目</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 xml:space="preserve">项目编号： ）的投标（或报价）活动，现有以下几个内容（或条款）存在疑问（或无法理解），特提出询问。 </w:t>
      </w:r>
    </w:p>
    <w:p w14:paraId="56DEBF2F">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一、_____________________（事项一） </w:t>
      </w:r>
    </w:p>
    <w:p w14:paraId="34C48FCB">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（1）____________________（问题或条款内容） </w:t>
      </w:r>
    </w:p>
    <w:p w14:paraId="454DE291">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（2）____________________（说明疑问或无法理解原因） </w:t>
      </w:r>
    </w:p>
    <w:p w14:paraId="3C11FB83">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（3）____________________（建议） </w:t>
      </w:r>
    </w:p>
    <w:p w14:paraId="175E442F">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二、_____________________（事项二） </w:t>
      </w:r>
    </w:p>
    <w:p w14:paraId="705C71D7">
      <w:pPr>
        <w:pStyle w:val="6"/>
        <w:widowControl/>
        <w:wordWrap w:val="0"/>
        <w:spacing w:line="360" w:lineRule="auto"/>
        <w:jc w:val="left"/>
        <w:rPr>
          <w:rFonts w:hint="eastAsia" w:ascii="仿宋" w:hAnsi="仿宋" w:eastAsia="仿宋" w:cs="仿宋"/>
          <w:color w:val="auto"/>
          <w:sz w:val="24"/>
          <w:szCs w:val="24"/>
          <w:highlight w:val="none"/>
        </w:rPr>
      </w:pPr>
      <w:r>
        <w:rPr>
          <w:rFonts w:hint="default" w:ascii="Arial" w:hAnsi="Arial" w:eastAsia="仿宋" w:cs="Arial"/>
          <w:color w:val="auto"/>
          <w:kern w:val="0"/>
          <w:sz w:val="24"/>
          <w:szCs w:val="24"/>
          <w:highlight w:val="none"/>
          <w:lang w:bidi="ar"/>
        </w:rPr>
        <w:t>…</w:t>
      </w:r>
      <w:r>
        <w:rPr>
          <w:rFonts w:hint="eastAsia" w:ascii="仿宋" w:hAnsi="仿宋" w:eastAsia="仿宋" w:cs="仿宋"/>
          <w:color w:val="auto"/>
          <w:kern w:val="0"/>
          <w:sz w:val="24"/>
          <w:szCs w:val="24"/>
          <w:highlight w:val="none"/>
          <w:lang w:bidi="ar"/>
        </w:rPr>
        <w:t xml:space="preserve"> </w:t>
      </w:r>
    </w:p>
    <w:p w14:paraId="124418FD">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随附相关证明材料如下：（目录）。 </w:t>
      </w:r>
    </w:p>
    <w:p w14:paraId="254FDF8C">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询问人：（单位公章或自然人签章） </w:t>
      </w:r>
    </w:p>
    <w:p w14:paraId="775E7DF3">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法定代表人（授权代表）： </w:t>
      </w:r>
    </w:p>
    <w:p w14:paraId="3A97CF09">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地址： </w:t>
      </w:r>
      <w:r>
        <w:rPr>
          <w:rFonts w:hint="eastAsia" w:ascii="仿宋" w:hAnsi="仿宋" w:eastAsia="仿宋" w:cs="仿宋"/>
          <w:color w:val="auto"/>
          <w:kern w:val="0"/>
          <w:sz w:val="24"/>
          <w:szCs w:val="24"/>
          <w:highlight w:val="none"/>
          <w:lang w:val="en-US" w:eastAsia="zh-CN" w:bidi="ar"/>
        </w:rPr>
        <w:t xml:space="preserve">            </w:t>
      </w:r>
      <w:r>
        <w:rPr>
          <w:rFonts w:hint="eastAsia" w:ascii="仿宋" w:hAnsi="仿宋" w:eastAsia="仿宋" w:cs="仿宋"/>
          <w:color w:val="auto"/>
          <w:kern w:val="0"/>
          <w:sz w:val="24"/>
          <w:szCs w:val="24"/>
          <w:highlight w:val="none"/>
          <w:lang w:bidi="ar"/>
        </w:rPr>
        <w:t xml:space="preserve">邮编： </w:t>
      </w:r>
    </w:p>
    <w:p w14:paraId="6D8066A8">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电话： </w:t>
      </w:r>
      <w:r>
        <w:rPr>
          <w:rFonts w:hint="eastAsia" w:ascii="仿宋" w:hAnsi="仿宋" w:eastAsia="仿宋" w:cs="仿宋"/>
          <w:color w:val="auto"/>
          <w:kern w:val="0"/>
          <w:sz w:val="24"/>
          <w:szCs w:val="24"/>
          <w:highlight w:val="none"/>
          <w:lang w:val="en-US" w:eastAsia="zh-CN" w:bidi="ar"/>
        </w:rPr>
        <w:t xml:space="preserve">            </w:t>
      </w:r>
      <w:r>
        <w:rPr>
          <w:rFonts w:hint="eastAsia" w:ascii="仿宋" w:hAnsi="仿宋" w:eastAsia="仿宋" w:cs="仿宋"/>
          <w:color w:val="auto"/>
          <w:kern w:val="0"/>
          <w:sz w:val="24"/>
          <w:szCs w:val="24"/>
          <w:highlight w:val="none"/>
          <w:lang w:bidi="ar"/>
        </w:rPr>
        <w:t xml:space="preserve">传真： </w:t>
      </w:r>
    </w:p>
    <w:p w14:paraId="382559B4">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项目联系人： </w:t>
      </w:r>
      <w:r>
        <w:rPr>
          <w:rFonts w:hint="eastAsia" w:ascii="仿宋" w:hAnsi="仿宋" w:eastAsia="仿宋" w:cs="仿宋"/>
          <w:color w:val="auto"/>
          <w:kern w:val="0"/>
          <w:sz w:val="24"/>
          <w:szCs w:val="24"/>
          <w:highlight w:val="none"/>
          <w:lang w:val="en-US" w:eastAsia="zh-CN" w:bidi="ar"/>
        </w:rPr>
        <w:t xml:space="preserve">      </w:t>
      </w:r>
      <w:r>
        <w:rPr>
          <w:rFonts w:hint="eastAsia" w:ascii="仿宋" w:hAnsi="仿宋" w:eastAsia="仿宋" w:cs="仿宋"/>
          <w:color w:val="auto"/>
          <w:kern w:val="0"/>
          <w:sz w:val="24"/>
          <w:szCs w:val="24"/>
          <w:highlight w:val="none"/>
          <w:lang w:bidi="ar"/>
        </w:rPr>
        <w:t xml:space="preserve">联系电话： </w:t>
      </w:r>
    </w:p>
    <w:p w14:paraId="002F01F7">
      <w:pPr>
        <w:pStyle w:val="6"/>
        <w:tabs>
          <w:tab w:val="left" w:pos="340"/>
        </w:tabs>
        <w:wordWrap w:val="0"/>
        <w:spacing w:line="360" w:lineRule="auto"/>
        <w:rPr>
          <w:rFonts w:hint="eastAsia" w:ascii="仿宋" w:hAnsi="仿宋" w:eastAsia="仿宋" w:cs="仿宋"/>
          <w:b/>
          <w:bCs/>
          <w:color w:val="auto"/>
          <w:sz w:val="24"/>
          <w:szCs w:val="24"/>
          <w:highlight w:val="none"/>
        </w:rPr>
      </w:pPr>
      <w:r>
        <w:rPr>
          <w:rFonts w:hint="eastAsia" w:ascii="仿宋" w:hAnsi="仿宋" w:eastAsia="仿宋" w:cs="仿宋"/>
          <w:color w:val="auto"/>
          <w:kern w:val="0"/>
          <w:sz w:val="24"/>
          <w:szCs w:val="24"/>
          <w:highlight w:val="none"/>
          <w:lang w:bidi="ar"/>
        </w:rPr>
        <w:t>年 月 日</w:t>
      </w:r>
    </w:p>
    <w:p w14:paraId="0BC232F0">
      <w:pPr>
        <w:pStyle w:val="6"/>
        <w:tabs>
          <w:tab w:val="left" w:pos="540"/>
        </w:tabs>
        <w:wordWrap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24.2</w:t>
      </w:r>
      <w:r>
        <w:rPr>
          <w:rFonts w:hint="eastAsia" w:ascii="仿宋" w:hAnsi="仿宋" w:eastAsia="仿宋" w:cs="仿宋"/>
          <w:b/>
          <w:bCs/>
          <w:color w:val="auto"/>
          <w:sz w:val="24"/>
          <w:szCs w:val="24"/>
          <w:highlight w:val="none"/>
        </w:rPr>
        <w:t>质疑</w:t>
      </w:r>
    </w:p>
    <w:p w14:paraId="1F3C3130">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 </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GB"/>
        </w:rPr>
        <w:t>1供应商认为</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、采购过程和</w:t>
      </w:r>
      <w:r>
        <w:rPr>
          <w:rFonts w:hint="eastAsia" w:ascii="仿宋" w:hAnsi="仿宋" w:eastAsia="仿宋" w:cs="仿宋"/>
          <w:color w:val="auto"/>
          <w:sz w:val="24"/>
          <w:szCs w:val="24"/>
          <w:highlight w:val="none"/>
          <w:lang w:val="en-GB" w:eastAsia="zh-CN"/>
        </w:rPr>
        <w:t>中标结果</w:t>
      </w:r>
      <w:r>
        <w:rPr>
          <w:rFonts w:hint="eastAsia" w:ascii="仿宋" w:hAnsi="仿宋" w:eastAsia="仿宋" w:cs="仿宋"/>
          <w:color w:val="auto"/>
          <w:sz w:val="24"/>
          <w:szCs w:val="24"/>
          <w:highlight w:val="none"/>
          <w:lang w:val="en-GB"/>
        </w:rPr>
        <w:t>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1EF2341B">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(1)对</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提出质疑的，为获取</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之日或者</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公告期限届满之日；</w:t>
      </w:r>
    </w:p>
    <w:p w14:paraId="0E311E82">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(2)对采购过程提出质疑的，为各采购程序环节结束之日；</w:t>
      </w:r>
    </w:p>
    <w:p w14:paraId="7FD25B2D">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(3)对</w:t>
      </w:r>
      <w:r>
        <w:rPr>
          <w:rFonts w:hint="eastAsia" w:ascii="仿宋" w:hAnsi="仿宋" w:eastAsia="仿宋" w:cs="仿宋"/>
          <w:color w:val="auto"/>
          <w:sz w:val="24"/>
          <w:szCs w:val="24"/>
          <w:highlight w:val="none"/>
          <w:lang w:val="en-GB" w:eastAsia="zh-CN"/>
        </w:rPr>
        <w:t>中标结果</w:t>
      </w:r>
      <w:r>
        <w:rPr>
          <w:rFonts w:hint="eastAsia" w:ascii="仿宋" w:hAnsi="仿宋" w:eastAsia="仿宋" w:cs="仿宋"/>
          <w:color w:val="auto"/>
          <w:sz w:val="24"/>
          <w:szCs w:val="24"/>
          <w:highlight w:val="none"/>
          <w:lang w:val="en-GB"/>
        </w:rPr>
        <w:t>提出质疑的，为</w:t>
      </w:r>
      <w:r>
        <w:rPr>
          <w:rFonts w:hint="eastAsia" w:ascii="仿宋" w:hAnsi="仿宋" w:eastAsia="仿宋" w:cs="仿宋"/>
          <w:color w:val="auto"/>
          <w:sz w:val="24"/>
          <w:szCs w:val="24"/>
          <w:highlight w:val="none"/>
          <w:lang w:val="en-GB" w:eastAsia="zh-CN"/>
        </w:rPr>
        <w:t>中标结果</w:t>
      </w:r>
      <w:r>
        <w:rPr>
          <w:rFonts w:hint="eastAsia" w:ascii="仿宋" w:hAnsi="仿宋" w:eastAsia="仿宋" w:cs="仿宋"/>
          <w:color w:val="auto"/>
          <w:sz w:val="24"/>
          <w:szCs w:val="24"/>
          <w:highlight w:val="none"/>
          <w:lang w:val="en-GB"/>
        </w:rPr>
        <w:t>公告期限届满之日。</w:t>
      </w:r>
    </w:p>
    <w:p w14:paraId="5E5FB029">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24.2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GB"/>
        </w:rPr>
        <w:t>2质疑函应当包括下列主要内容：</w:t>
      </w:r>
    </w:p>
    <w:p w14:paraId="2062D193">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(1)质疑供应商和相关供应商的名称、地址、邮编、联系人及联系电话等；</w:t>
      </w:r>
    </w:p>
    <w:p w14:paraId="08BDFD96">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(2)质疑项目名称及编号、具体明确的质疑事项和与质疑事项相关的请求；</w:t>
      </w:r>
    </w:p>
    <w:p w14:paraId="73F8BB4A">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(3)认为</w:t>
      </w:r>
      <w:r>
        <w:rPr>
          <w:rFonts w:hint="eastAsia" w:ascii="仿宋" w:hAnsi="仿宋" w:eastAsia="仿宋" w:cs="仿宋"/>
          <w:color w:val="auto"/>
          <w:sz w:val="24"/>
          <w:szCs w:val="24"/>
          <w:highlight w:val="none"/>
          <w:lang w:val="en-GB" w:eastAsia="zh-CN"/>
        </w:rPr>
        <w:t>磋商文件</w:t>
      </w:r>
      <w:r>
        <w:rPr>
          <w:rFonts w:hint="eastAsia" w:ascii="仿宋" w:hAnsi="仿宋" w:eastAsia="仿宋" w:cs="仿宋"/>
          <w:color w:val="auto"/>
          <w:sz w:val="24"/>
          <w:szCs w:val="24"/>
          <w:highlight w:val="none"/>
          <w:lang w:val="en-GB"/>
        </w:rPr>
        <w:t>、采购过程、中标和成交结果使自己的合法权益受到损害的法律依据、事实依据、相关证明材料及证据来源；</w:t>
      </w:r>
    </w:p>
    <w:p w14:paraId="30326BC5">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(4)提出质疑的日期。</w:t>
      </w:r>
    </w:p>
    <w:p w14:paraId="5FFF3196">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24.2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GB"/>
        </w:rPr>
        <w:t>3 质疑函应当署名。质疑供应商为自然人的，应当由本人签字；质疑供应商为法人或者其他组织的，应当由法定代表人、主要负责人，或者其授权代表签字或者盖章，并加盖公章。</w:t>
      </w:r>
    </w:p>
    <w:p w14:paraId="6A00392E">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GB"/>
        </w:rPr>
        <w:t>4以联合体形式参加采购活动的，其质疑应当由联合体成员委托主体提出。（本</w:t>
      </w:r>
      <w:r>
        <w:rPr>
          <w:rFonts w:hint="eastAsia" w:ascii="仿宋" w:hAnsi="仿宋" w:eastAsia="仿宋" w:cs="仿宋"/>
          <w:color w:val="auto"/>
          <w:sz w:val="24"/>
          <w:szCs w:val="24"/>
          <w:highlight w:val="none"/>
        </w:rPr>
        <w:t>项目不适用）</w:t>
      </w:r>
    </w:p>
    <w:p w14:paraId="70B47A9D">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GB"/>
        </w:rPr>
        <w:t>5供应商质疑应当有明确的请求和必要的证明材料。质疑内容不得含有虚假、恶意成分。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监督管理机构依法处理。</w:t>
      </w:r>
    </w:p>
    <w:p w14:paraId="53C7D4C7">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GB"/>
        </w:rPr>
        <w:t>6质疑联系方式见《</w:t>
      </w:r>
      <w:r>
        <w:rPr>
          <w:rFonts w:hint="eastAsia" w:ascii="仿宋" w:hAnsi="仿宋" w:eastAsia="仿宋" w:cs="仿宋"/>
          <w:color w:val="auto"/>
          <w:sz w:val="24"/>
          <w:szCs w:val="24"/>
          <w:highlight w:val="none"/>
          <w:lang w:val="en-GB" w:eastAsia="zh-CN"/>
        </w:rPr>
        <w:t>投标邀请函</w:t>
      </w:r>
      <w:r>
        <w:rPr>
          <w:rFonts w:hint="eastAsia" w:ascii="仿宋" w:hAnsi="仿宋" w:eastAsia="仿宋" w:cs="仿宋"/>
          <w:color w:val="auto"/>
          <w:sz w:val="24"/>
          <w:szCs w:val="24"/>
          <w:highlight w:val="none"/>
          <w:lang w:val="en-GB"/>
        </w:rPr>
        <w:t>》中“采购人、采购代理机构的名称、地址和</w:t>
      </w:r>
      <w:r>
        <w:rPr>
          <w:rFonts w:hint="eastAsia" w:ascii="仿宋" w:hAnsi="仿宋" w:eastAsia="仿宋" w:cs="仿宋"/>
          <w:color w:val="auto"/>
          <w:sz w:val="24"/>
          <w:szCs w:val="24"/>
          <w:highlight w:val="none"/>
        </w:rPr>
        <w:t>联系方式”。受理方式</w:t>
      </w:r>
      <w:r>
        <w:rPr>
          <w:rFonts w:hint="eastAsia" w:ascii="仿宋" w:hAnsi="仿宋" w:eastAsia="仿宋" w:cs="仿宋"/>
          <w:color w:val="auto"/>
          <w:sz w:val="24"/>
          <w:szCs w:val="24"/>
          <w:highlight w:val="none"/>
          <w:lang w:val="en-US" w:eastAsia="zh-CN"/>
        </w:rPr>
        <w:t>详见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邀请函》中</w:t>
      </w:r>
      <w:r>
        <w:rPr>
          <w:rFonts w:hint="eastAsia" w:ascii="仿宋" w:hAnsi="仿宋" w:eastAsia="仿宋" w:cs="仿宋"/>
          <w:color w:val="auto"/>
          <w:sz w:val="24"/>
          <w:szCs w:val="24"/>
          <w:highlight w:val="none"/>
          <w:lang w:val="en-US" w:eastAsia="zh-CN"/>
        </w:rPr>
        <w:t>“质疑受理方式”内容</w:t>
      </w:r>
      <w:r>
        <w:rPr>
          <w:rFonts w:hint="eastAsia" w:ascii="仿宋" w:hAnsi="仿宋" w:eastAsia="仿宋" w:cs="仿宋"/>
          <w:color w:val="auto"/>
          <w:sz w:val="24"/>
          <w:szCs w:val="24"/>
          <w:highlight w:val="none"/>
        </w:rPr>
        <w:t>。（质疑函格式可参考以下《质疑函格式》内容）</w:t>
      </w:r>
    </w:p>
    <w:p w14:paraId="7A380B56">
      <w:pPr>
        <w:pStyle w:val="6"/>
        <w:tabs>
          <w:tab w:val="left" w:pos="340"/>
        </w:tabs>
        <w:wordWrap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质疑函格式</w:t>
      </w:r>
    </w:p>
    <w:p w14:paraId="133A9359">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一、质疑供应商基本信息：</w:t>
      </w:r>
    </w:p>
    <w:p w14:paraId="06FEF38B">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质疑供应商：</w:t>
      </w:r>
      <w:r>
        <w:rPr>
          <w:rFonts w:hint="eastAsia" w:ascii="仿宋" w:hAnsi="仿宋" w:eastAsia="仿宋" w:cs="仿宋"/>
          <w:color w:val="auto"/>
          <w:szCs w:val="24"/>
          <w:highlight w:val="none"/>
          <w:u w:val="single"/>
        </w:rPr>
        <w:t xml:space="preserve">                            </w:t>
      </w:r>
    </w:p>
    <w:p w14:paraId="79E25508">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地址：</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邮编：</w:t>
      </w:r>
      <w:r>
        <w:rPr>
          <w:rFonts w:hint="eastAsia" w:ascii="仿宋" w:hAnsi="仿宋" w:eastAsia="仿宋" w:cs="仿宋"/>
          <w:color w:val="auto"/>
          <w:szCs w:val="24"/>
          <w:highlight w:val="none"/>
          <w:u w:val="single"/>
        </w:rPr>
        <w:t xml:space="preserve">               </w:t>
      </w:r>
    </w:p>
    <w:p w14:paraId="5065E653">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联系电话：</w:t>
      </w:r>
      <w:r>
        <w:rPr>
          <w:rFonts w:hint="eastAsia" w:ascii="仿宋" w:hAnsi="仿宋" w:eastAsia="仿宋" w:cs="仿宋"/>
          <w:color w:val="auto"/>
          <w:szCs w:val="24"/>
          <w:highlight w:val="none"/>
          <w:u w:val="single"/>
        </w:rPr>
        <w:t xml:space="preserve">                            </w:t>
      </w:r>
    </w:p>
    <w:p w14:paraId="2446A4B7">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授权代表：</w:t>
      </w:r>
      <w:r>
        <w:rPr>
          <w:rFonts w:hint="eastAsia" w:ascii="仿宋" w:hAnsi="仿宋" w:eastAsia="仿宋" w:cs="仿宋"/>
          <w:color w:val="auto"/>
          <w:szCs w:val="24"/>
          <w:highlight w:val="none"/>
          <w:u w:val="single"/>
        </w:rPr>
        <w:t xml:space="preserve">                            </w:t>
      </w:r>
    </w:p>
    <w:p w14:paraId="557910D4">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联系电话：</w:t>
      </w:r>
      <w:r>
        <w:rPr>
          <w:rFonts w:hint="eastAsia" w:ascii="仿宋" w:hAnsi="仿宋" w:eastAsia="仿宋" w:cs="仿宋"/>
          <w:color w:val="auto"/>
          <w:szCs w:val="24"/>
          <w:highlight w:val="none"/>
          <w:u w:val="single"/>
        </w:rPr>
        <w:t xml:space="preserve">                            </w:t>
      </w:r>
    </w:p>
    <w:p w14:paraId="2BD41C8E">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地址：</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邮编：</w:t>
      </w:r>
      <w:r>
        <w:rPr>
          <w:rFonts w:hint="eastAsia" w:ascii="仿宋" w:hAnsi="仿宋" w:eastAsia="仿宋" w:cs="仿宋"/>
          <w:color w:val="auto"/>
          <w:szCs w:val="24"/>
          <w:highlight w:val="none"/>
          <w:u w:val="single"/>
        </w:rPr>
        <w:t xml:space="preserve">               </w:t>
      </w:r>
    </w:p>
    <w:p w14:paraId="2B394C8F">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二、质疑项目基本情况：</w:t>
      </w:r>
    </w:p>
    <w:p w14:paraId="6F217EC5">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质疑项目的名称：</w:t>
      </w:r>
      <w:r>
        <w:rPr>
          <w:rFonts w:hint="eastAsia" w:ascii="仿宋" w:hAnsi="仿宋" w:eastAsia="仿宋" w:cs="仿宋"/>
          <w:color w:val="auto"/>
          <w:szCs w:val="24"/>
          <w:highlight w:val="none"/>
          <w:u w:val="single"/>
        </w:rPr>
        <w:t xml:space="preserve">                            </w:t>
      </w:r>
    </w:p>
    <w:p w14:paraId="2DB4ED93">
      <w:pPr>
        <w:pStyle w:val="48"/>
        <w:numPr>
          <w:ilvl w:val="0"/>
          <w:numId w:val="0"/>
        </w:numPr>
        <w:tabs>
          <w:tab w:val="clear" w:pos="0"/>
        </w:tabs>
        <w:wordWrap w:val="0"/>
        <w:spacing w:after="0" w:line="360" w:lineRule="auto"/>
        <w:ind w:left="900" w:left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质疑项目的编号：</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包号：</w:t>
      </w:r>
      <w:r>
        <w:rPr>
          <w:rFonts w:hint="eastAsia" w:ascii="仿宋" w:hAnsi="仿宋" w:eastAsia="仿宋" w:cs="仿宋"/>
          <w:color w:val="auto"/>
          <w:szCs w:val="24"/>
          <w:highlight w:val="none"/>
          <w:u w:val="single"/>
        </w:rPr>
        <w:t xml:space="preserve">             </w:t>
      </w:r>
    </w:p>
    <w:p w14:paraId="32CD8537">
      <w:pPr>
        <w:pStyle w:val="48"/>
        <w:numPr>
          <w:ilvl w:val="0"/>
          <w:numId w:val="0"/>
        </w:numPr>
        <w:tabs>
          <w:tab w:val="clear" w:pos="0"/>
        </w:tabs>
        <w:wordWrap w:val="0"/>
        <w:spacing w:after="0" w:line="360" w:lineRule="auto"/>
        <w:ind w:left="900" w:left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采购人名称：</w:t>
      </w:r>
      <w:r>
        <w:rPr>
          <w:rFonts w:hint="eastAsia" w:ascii="仿宋" w:hAnsi="仿宋" w:eastAsia="仿宋" w:cs="仿宋"/>
          <w:color w:val="auto"/>
          <w:szCs w:val="24"/>
          <w:highlight w:val="none"/>
          <w:u w:val="single"/>
        </w:rPr>
        <w:t xml:space="preserve">                            </w:t>
      </w:r>
    </w:p>
    <w:p w14:paraId="3B40A3B8">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eastAsia="zh-CN"/>
        </w:rPr>
        <w:t>采购文件</w:t>
      </w:r>
      <w:r>
        <w:rPr>
          <w:rFonts w:hint="eastAsia" w:ascii="仿宋" w:hAnsi="仿宋" w:eastAsia="仿宋" w:cs="仿宋"/>
          <w:color w:val="auto"/>
          <w:szCs w:val="24"/>
          <w:highlight w:val="none"/>
        </w:rPr>
        <w:t>获取日期：</w:t>
      </w:r>
      <w:r>
        <w:rPr>
          <w:rFonts w:hint="eastAsia" w:ascii="仿宋" w:hAnsi="仿宋" w:eastAsia="仿宋" w:cs="仿宋"/>
          <w:color w:val="auto"/>
          <w:szCs w:val="24"/>
          <w:highlight w:val="none"/>
          <w:u w:val="single"/>
        </w:rPr>
        <w:t xml:space="preserve">                            </w:t>
      </w:r>
    </w:p>
    <w:p w14:paraId="67D0B98A">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三、质疑事项具体内容：</w:t>
      </w:r>
    </w:p>
    <w:p w14:paraId="61F61B5F">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质疑事项1：</w:t>
      </w:r>
      <w:r>
        <w:rPr>
          <w:rFonts w:hint="eastAsia" w:ascii="仿宋" w:hAnsi="仿宋" w:eastAsia="仿宋" w:cs="仿宋"/>
          <w:color w:val="auto"/>
          <w:szCs w:val="24"/>
          <w:highlight w:val="none"/>
          <w:u w:val="single"/>
        </w:rPr>
        <w:t xml:space="preserve">                            </w:t>
      </w:r>
    </w:p>
    <w:p w14:paraId="75128BE0">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事实依据：</w:t>
      </w:r>
      <w:r>
        <w:rPr>
          <w:rFonts w:hint="eastAsia" w:ascii="仿宋" w:hAnsi="仿宋" w:eastAsia="仿宋" w:cs="仿宋"/>
          <w:color w:val="auto"/>
          <w:szCs w:val="24"/>
          <w:highlight w:val="none"/>
          <w:u w:val="single"/>
        </w:rPr>
        <w:t xml:space="preserve">                            </w:t>
      </w:r>
    </w:p>
    <w:p w14:paraId="7F3109A6">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法律依据：</w:t>
      </w:r>
      <w:r>
        <w:rPr>
          <w:rFonts w:hint="eastAsia" w:ascii="仿宋" w:hAnsi="仿宋" w:eastAsia="仿宋" w:cs="仿宋"/>
          <w:color w:val="auto"/>
          <w:szCs w:val="24"/>
          <w:highlight w:val="none"/>
          <w:u w:val="single"/>
        </w:rPr>
        <w:t xml:space="preserve">                            </w:t>
      </w:r>
    </w:p>
    <w:p w14:paraId="3004EF10">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质疑事项2：</w:t>
      </w:r>
    </w:p>
    <w:p w14:paraId="1F739734">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p>
    <w:p w14:paraId="4211509E">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四、与质疑事项相关的质疑请求：</w:t>
      </w:r>
    </w:p>
    <w:p w14:paraId="7529D2E8">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请求：</w:t>
      </w:r>
      <w:r>
        <w:rPr>
          <w:rFonts w:hint="eastAsia" w:ascii="仿宋" w:hAnsi="仿宋" w:eastAsia="仿宋" w:cs="仿宋"/>
          <w:color w:val="auto"/>
          <w:szCs w:val="24"/>
          <w:highlight w:val="none"/>
          <w:u w:val="single"/>
        </w:rPr>
        <w:t xml:space="preserve">                            </w:t>
      </w:r>
    </w:p>
    <w:p w14:paraId="3F2EDE0F">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签字(签章)：                     公章：</w:t>
      </w:r>
    </w:p>
    <w:p w14:paraId="1747365A">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日期：</w:t>
      </w:r>
      <w:r>
        <w:rPr>
          <w:rFonts w:hint="eastAsia" w:ascii="仿宋" w:hAnsi="仿宋" w:eastAsia="仿宋" w:cs="仿宋"/>
          <w:color w:val="auto"/>
          <w:szCs w:val="24"/>
          <w:highlight w:val="none"/>
          <w:u w:val="single"/>
        </w:rPr>
        <w:t xml:space="preserve">                            </w:t>
      </w:r>
    </w:p>
    <w:p w14:paraId="22FAAD41">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质疑函制作说明：</w:t>
      </w:r>
    </w:p>
    <w:p w14:paraId="2C67EF7E">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1.供应商提出质疑时，应提交质疑函和必要的证明材料。</w:t>
      </w:r>
    </w:p>
    <w:p w14:paraId="38743866">
      <w:pPr>
        <w:pStyle w:val="48"/>
        <w:numPr>
          <w:ilvl w:val="0"/>
          <w:numId w:val="0"/>
        </w:numPr>
        <w:tabs>
          <w:tab w:val="clear" w:pos="0"/>
        </w:tabs>
        <w:wordWrap w:val="0"/>
        <w:spacing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EF233FA">
      <w:pPr>
        <w:pStyle w:val="48"/>
        <w:numPr>
          <w:ilvl w:val="0"/>
          <w:numId w:val="0"/>
        </w:numPr>
        <w:tabs>
          <w:tab w:val="clear" w:pos="0"/>
        </w:tabs>
        <w:wordWrap w:val="0"/>
        <w:spacing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3.质疑供应商若对项目的某一分包进行质疑，质疑函中应列明具体分包号。</w:t>
      </w:r>
    </w:p>
    <w:p w14:paraId="424B871E">
      <w:pPr>
        <w:pStyle w:val="48"/>
        <w:numPr>
          <w:ilvl w:val="0"/>
          <w:numId w:val="0"/>
        </w:numPr>
        <w:tabs>
          <w:tab w:val="clear" w:pos="0"/>
        </w:tabs>
        <w:wordWrap w:val="0"/>
        <w:spacing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4.质疑函的质疑事项应具体、明确，并有必要的事实依据和法律依据。</w:t>
      </w:r>
    </w:p>
    <w:p w14:paraId="0C62AA0C">
      <w:pPr>
        <w:pStyle w:val="48"/>
        <w:numPr>
          <w:ilvl w:val="0"/>
          <w:numId w:val="0"/>
        </w:numPr>
        <w:tabs>
          <w:tab w:val="clear" w:pos="0"/>
        </w:tabs>
        <w:wordWrap w:val="0"/>
        <w:spacing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5.质疑函的质疑请求应与质疑事项相关。</w:t>
      </w:r>
    </w:p>
    <w:p w14:paraId="7FF2519F">
      <w:pPr>
        <w:pStyle w:val="48"/>
        <w:numPr>
          <w:ilvl w:val="0"/>
          <w:numId w:val="0"/>
        </w:numPr>
        <w:tabs>
          <w:tab w:val="clear" w:pos="0"/>
        </w:tabs>
        <w:wordWrap w:val="0"/>
        <w:spacing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6.质疑供应商为自然人的，质疑函应由本人签字；质疑供应商为法人或者其他组织的，质疑函应由法定代表人、主要负责人，或者其授权代表签字或者盖章，并加盖公章。</w:t>
      </w:r>
    </w:p>
    <w:p w14:paraId="1C6BA410">
      <w:pPr>
        <w:pStyle w:val="6"/>
        <w:tabs>
          <w:tab w:val="left" w:pos="540"/>
        </w:tabs>
        <w:wordWrap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24.3</w:t>
      </w:r>
      <w:r>
        <w:rPr>
          <w:rFonts w:hint="eastAsia" w:ascii="仿宋" w:hAnsi="仿宋" w:eastAsia="仿宋" w:cs="仿宋"/>
          <w:b/>
          <w:bCs/>
          <w:color w:val="auto"/>
          <w:sz w:val="24"/>
          <w:szCs w:val="24"/>
          <w:highlight w:val="none"/>
        </w:rPr>
        <w:t>.投诉</w:t>
      </w:r>
    </w:p>
    <w:p w14:paraId="16177292">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rPr>
        <w:t>质疑人对采购人或采购代理机构的质疑答复不满意或在规定时间内未得到答复</w:t>
      </w:r>
      <w:r>
        <w:rPr>
          <w:rFonts w:hint="eastAsia" w:ascii="仿宋" w:hAnsi="仿宋" w:eastAsia="仿宋" w:cs="仿宋"/>
          <w:color w:val="auto"/>
          <w:sz w:val="24"/>
          <w:szCs w:val="24"/>
          <w:highlight w:val="none"/>
        </w:rPr>
        <w:t xml:space="preserve">的，可以在答复期满后15个工作日内，向本项目监督管理部门提起投诉。联系方式详见“第三部分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须知前附表”中“监督管理单位信息”内容。（投诉函格式可参照以下《投诉函格式》）</w:t>
      </w:r>
    </w:p>
    <w:p w14:paraId="54FBC2A5">
      <w:pPr>
        <w:pStyle w:val="15"/>
        <w:wordWrap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投诉函格式</w:t>
      </w:r>
    </w:p>
    <w:p w14:paraId="23E7F95D">
      <w:pPr>
        <w:pStyle w:val="6"/>
        <w:wordWrap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w:t>
      </w:r>
    </w:p>
    <w:p w14:paraId="23A5CB57">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p>
    <w:p w14:paraId="25F379B9">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u w:val="single"/>
        </w:rPr>
        <w:t xml:space="preserve">            </w:t>
      </w:r>
    </w:p>
    <w:p w14:paraId="3C06988B">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14:paraId="582E22EB">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职业：</w:t>
      </w:r>
      <w:r>
        <w:rPr>
          <w:rFonts w:hint="eastAsia" w:ascii="仿宋" w:hAnsi="仿宋" w:eastAsia="仿宋" w:cs="仿宋"/>
          <w:color w:val="auto"/>
          <w:sz w:val="24"/>
          <w:szCs w:val="24"/>
          <w:highlight w:val="none"/>
          <w:u w:val="single"/>
        </w:rPr>
        <w:t xml:space="preserve">               </w:t>
      </w:r>
    </w:p>
    <w:p w14:paraId="7A1D649E">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联系电话：</w:t>
      </w:r>
      <w:r>
        <w:rPr>
          <w:rFonts w:hint="eastAsia" w:ascii="仿宋" w:hAnsi="仿宋" w:eastAsia="仿宋" w:cs="仿宋"/>
          <w:color w:val="auto"/>
          <w:sz w:val="24"/>
          <w:szCs w:val="24"/>
          <w:highlight w:val="none"/>
          <w:u w:val="single"/>
        </w:rPr>
        <w:t xml:space="preserve">                  </w:t>
      </w:r>
    </w:p>
    <w:p w14:paraId="7B797E5A">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被投诉人：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法定代表人：</w:t>
      </w:r>
      <w:r>
        <w:rPr>
          <w:rFonts w:hint="eastAsia" w:ascii="仿宋" w:hAnsi="仿宋" w:eastAsia="仿宋" w:cs="仿宋"/>
          <w:color w:val="auto"/>
          <w:sz w:val="24"/>
          <w:szCs w:val="24"/>
          <w:highlight w:val="none"/>
          <w:u w:val="single"/>
        </w:rPr>
        <w:t xml:space="preserve">                  </w:t>
      </w:r>
    </w:p>
    <w:p w14:paraId="3BC1E039">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u w:val="single"/>
        </w:rPr>
        <w:t xml:space="preserve">                  </w:t>
      </w:r>
    </w:p>
    <w:p w14:paraId="45CE2A23">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14:paraId="0AD419D1">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我公司参加了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日被投诉人组织的（采购人）</w:t>
      </w:r>
      <w:r>
        <w:rPr>
          <w:rFonts w:hint="eastAsia" w:ascii="仿宋" w:hAnsi="仿宋" w:eastAsia="仿宋" w:cs="仿宋"/>
          <w:color w:val="auto"/>
          <w:sz w:val="24"/>
          <w:szCs w:val="24"/>
          <w:highlight w:val="none"/>
          <w:lang w:eastAsia="zh-CN"/>
        </w:rPr>
        <w:t>桂城街道叠北社区市政管理一体化服务</w:t>
      </w:r>
      <w:r>
        <w:rPr>
          <w:rFonts w:hint="eastAsia" w:ascii="仿宋" w:hAnsi="仿宋" w:eastAsia="仿宋" w:cs="仿宋"/>
          <w:color w:val="auto"/>
          <w:sz w:val="24"/>
          <w:szCs w:val="24"/>
          <w:highlight w:val="none"/>
        </w:rPr>
        <w:t>（项目编号）的采购活动，我公司认为该项目的（</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、采购过程、中标（成交）结果</w:t>
      </w:r>
      <w:r>
        <w:rPr>
          <w:rFonts w:hint="eastAsia" w:ascii="仿宋" w:hAnsi="仿宋" w:eastAsia="仿宋" w:cs="仿宋"/>
          <w:color w:val="auto"/>
          <w:sz w:val="24"/>
          <w:szCs w:val="24"/>
          <w:highlight w:val="none"/>
        </w:rPr>
        <w:t>）损害了我公司权益，对此，我公司于年月日向（采购代理机构或采购人）提出了质疑，</w:t>
      </w:r>
    </w:p>
    <w:p w14:paraId="257AEF67">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年__ 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日作出书面答复，因对其作出的答复不满意）/（被质疑人未在法定期限内予以答复，按照采购有关规定），现向贵机关提起投诉：</w:t>
      </w:r>
    </w:p>
    <w:p w14:paraId="2911A0DA">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1.具体的投诉事项及事实依据；</w:t>
      </w:r>
    </w:p>
    <w:p w14:paraId="01F1D25A">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2.质疑和质疑答复情况的简要描述；</w:t>
      </w:r>
    </w:p>
    <w:p w14:paraId="2FB295E3">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3.投诉请求；</w:t>
      </w:r>
    </w:p>
    <w:p w14:paraId="157682D9">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本投诉书正本两份，副本</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份并附电子文档。</w:t>
      </w:r>
    </w:p>
    <w:p w14:paraId="1867334B">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附件：质疑函、质疑答复函、证据材料及相关证明材料(扫描件)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页。</w:t>
      </w:r>
    </w:p>
    <w:p w14:paraId="2775DEFB">
      <w:pPr>
        <w:pStyle w:val="6"/>
        <w:wordWrap w:val="0"/>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：（盖章）</w:t>
      </w:r>
      <w:r>
        <w:rPr>
          <w:rFonts w:hint="eastAsia" w:ascii="仿宋" w:hAnsi="仿宋" w:eastAsia="仿宋" w:cs="仿宋"/>
          <w:color w:val="auto"/>
          <w:sz w:val="24"/>
          <w:szCs w:val="24"/>
          <w:highlight w:val="none"/>
          <w:u w:val="single"/>
        </w:rPr>
        <w:t xml:space="preserve">         </w:t>
      </w:r>
    </w:p>
    <w:p w14:paraId="0BB33C31">
      <w:pPr>
        <w:pStyle w:val="6"/>
        <w:wordWrap w:val="0"/>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u w:val="single"/>
        </w:rPr>
        <w:t xml:space="preserve">         </w:t>
      </w:r>
    </w:p>
    <w:p w14:paraId="486F64F6">
      <w:pPr>
        <w:spacing w:line="360" w:lineRule="auto"/>
        <w:ind w:left="0" w:leftChars="0"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29FB3B9">
      <w:pPr>
        <w:pStyle w:val="6"/>
        <w:keepNext w:val="0"/>
        <w:keepLines w:val="0"/>
        <w:pageBreakBefore w:val="0"/>
        <w:widowControl w:val="0"/>
        <w:tabs>
          <w:tab w:val="left" w:pos="540"/>
        </w:tabs>
        <w:kinsoku/>
        <w:wordWrap w:val="0"/>
        <w:overflowPunct/>
        <w:topLinePunct w:val="0"/>
        <w:autoSpaceDE/>
        <w:autoSpaceDN/>
        <w:bidi w:val="0"/>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25.合同签订</w:t>
      </w:r>
    </w:p>
    <w:p w14:paraId="49933A2F">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应当自《</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》发出之日起三十日内，按照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中标人投标文件</w:t>
      </w:r>
      <w:r>
        <w:rPr>
          <w:rFonts w:hint="eastAsia" w:ascii="仿宋" w:hAnsi="仿宋" w:eastAsia="仿宋" w:cs="仿宋"/>
          <w:color w:val="auto"/>
          <w:sz w:val="24"/>
          <w:szCs w:val="24"/>
          <w:highlight w:val="none"/>
        </w:rPr>
        <w:t>的约定，与</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签订合同。所签订的合同不得对</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和中标</w:t>
      </w:r>
      <w:r>
        <w:rPr>
          <w:rFonts w:hint="eastAsia" w:ascii="仿宋" w:hAnsi="仿宋" w:eastAsia="仿宋" w:cs="仿宋"/>
          <w:color w:val="auto"/>
          <w:sz w:val="24"/>
          <w:szCs w:val="24"/>
          <w:highlight w:val="none"/>
          <w:lang w:eastAsia="zh-CN"/>
        </w:rPr>
        <w:t>投标人投标文件</w:t>
      </w:r>
      <w:r>
        <w:rPr>
          <w:rFonts w:hint="eastAsia" w:ascii="仿宋" w:hAnsi="仿宋" w:eastAsia="仿宋" w:cs="仿宋"/>
          <w:color w:val="auto"/>
          <w:sz w:val="24"/>
          <w:szCs w:val="24"/>
          <w:highlight w:val="none"/>
        </w:rPr>
        <w:t>作实质性修改。</w:t>
      </w:r>
    </w:p>
    <w:p w14:paraId="5FD7F5E6">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不得提出试用合格等任何不合理的要求作为签订合同的条件，且不得与中标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私下订立背离合同实质性内容的协议。</w:t>
      </w:r>
    </w:p>
    <w:p w14:paraId="59DBF19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25.3中标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应按照《</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》的要求与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签订合同，如拒绝或拖延签订合同，应承担违约责任和经济赔偿，同时其</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rPr>
        <w:t>不予退还（如有）。</w:t>
      </w:r>
    </w:p>
    <w:p w14:paraId="0E96D547">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25.4</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、相关澄清材料及来往确认文件，均作为合同订立和裁定争议的依据，对这些文件个别条款要约的理解存有歧义、偏差、含糊、疏漏等情形时，一切以能够实现项目的功能效果和设计目标为前提，均以</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的理解判断为准。</w:t>
      </w:r>
    </w:p>
    <w:p w14:paraId="2365CD7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25.5在不违背原采购方案要求和各方认可的文件内容前提下，合同当事人可对合同范本中个别非实质性条款共同协商完善补充修正。</w:t>
      </w:r>
    </w:p>
    <w:p w14:paraId="611A44B8">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25.6合同生效后一切行为均适用于《中华人民共和国民法典》，履约期间有违约过错的一方，须承担相应的责任。</w:t>
      </w:r>
    </w:p>
    <w:p w14:paraId="5E014815">
      <w:pPr>
        <w:pStyle w:val="6"/>
        <w:keepNext w:val="0"/>
        <w:keepLines w:val="0"/>
        <w:pageBreakBefore w:val="0"/>
        <w:widowControl w:val="0"/>
        <w:tabs>
          <w:tab w:val="left" w:pos="540"/>
        </w:tabs>
        <w:kinsoku/>
        <w:wordWrap w:val="0"/>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终止采购</w:t>
      </w:r>
    </w:p>
    <w:p w14:paraId="08262AD0">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.1.如发生</w:t>
      </w:r>
      <w:r>
        <w:rPr>
          <w:rFonts w:hint="eastAsia" w:ascii="仿宋" w:hAnsi="仿宋" w:eastAsia="仿宋" w:cs="仿宋"/>
          <w:color w:val="auto"/>
          <w:sz w:val="24"/>
          <w:szCs w:val="24"/>
          <w:highlight w:val="none"/>
          <w:lang w:eastAsia="zh-CN"/>
        </w:rPr>
        <w:t>终止采购</w:t>
      </w:r>
      <w:r>
        <w:rPr>
          <w:rFonts w:hint="eastAsia" w:ascii="仿宋" w:hAnsi="仿宋" w:eastAsia="仿宋" w:cs="仿宋"/>
          <w:color w:val="auto"/>
          <w:sz w:val="24"/>
          <w:szCs w:val="24"/>
          <w:highlight w:val="none"/>
        </w:rPr>
        <w:t>的情况，</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将及时在原公告发布媒体</w:t>
      </w:r>
      <w:r>
        <w:rPr>
          <w:rFonts w:hint="eastAsia" w:ascii="仿宋" w:hAnsi="仿宋" w:eastAsia="仿宋" w:cs="仿宋"/>
          <w:color w:val="auto"/>
          <w:sz w:val="24"/>
          <w:szCs w:val="24"/>
          <w:highlight w:val="none"/>
          <w:lang w:val="en-GB"/>
        </w:rPr>
        <w:t>上发布终止公告，以书面形式通知已经获取</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的潜在</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，并将项目实施情</w:t>
      </w:r>
      <w:r>
        <w:rPr>
          <w:rFonts w:hint="eastAsia" w:ascii="仿宋" w:hAnsi="仿宋" w:eastAsia="仿宋" w:cs="仿宋"/>
          <w:color w:val="auto"/>
          <w:sz w:val="24"/>
          <w:szCs w:val="24"/>
          <w:highlight w:val="none"/>
        </w:rPr>
        <w:t>况和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任务</w:t>
      </w:r>
      <w:r>
        <w:rPr>
          <w:rFonts w:hint="eastAsia" w:ascii="仿宋" w:hAnsi="仿宋" w:eastAsia="仿宋" w:cs="仿宋"/>
          <w:color w:val="auto"/>
          <w:sz w:val="24"/>
          <w:szCs w:val="24"/>
          <w:highlight w:val="none"/>
        </w:rPr>
        <w:t>取消原因报告管理部门。已经收取</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rPr>
        <w:t>的，将在终止</w:t>
      </w:r>
      <w:r>
        <w:rPr>
          <w:rFonts w:hint="eastAsia" w:ascii="仿宋" w:hAnsi="仿宋" w:eastAsia="仿宋" w:cs="仿宋"/>
          <w:color w:val="auto"/>
          <w:sz w:val="24"/>
          <w:szCs w:val="24"/>
          <w:highlight w:val="none"/>
          <w:lang w:eastAsia="zh-CN"/>
        </w:rPr>
        <w:t>采购活动</w:t>
      </w:r>
      <w:r>
        <w:rPr>
          <w:rFonts w:hint="eastAsia" w:ascii="仿宋" w:hAnsi="仿宋" w:eastAsia="仿宋" w:cs="仿宋"/>
          <w:color w:val="auto"/>
          <w:sz w:val="24"/>
          <w:szCs w:val="24"/>
          <w:highlight w:val="none"/>
        </w:rPr>
        <w:t>后5个工作日内，退还所收取的</w:t>
      </w:r>
      <w:r>
        <w:rPr>
          <w:rFonts w:hint="eastAsia" w:ascii="仿宋" w:hAnsi="仿宋" w:eastAsia="仿宋" w:cs="仿宋"/>
          <w:color w:val="auto"/>
          <w:sz w:val="24"/>
          <w:szCs w:val="24"/>
          <w:highlight w:val="none"/>
          <w:lang w:eastAsia="zh-CN"/>
        </w:rPr>
        <w:t>投标保证金（</w:t>
      </w:r>
      <w:r>
        <w:rPr>
          <w:rFonts w:hint="eastAsia" w:ascii="仿宋" w:hAnsi="仿宋" w:eastAsia="仿宋" w:cs="仿宋"/>
          <w:bCs/>
          <w:color w:val="auto"/>
          <w:sz w:val="24"/>
          <w:szCs w:val="24"/>
          <w:highlight w:val="none"/>
          <w:lang w:val="en-GB"/>
        </w:rPr>
        <w:t>全额无息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03BDA64C">
      <w:pPr>
        <w:pStyle w:val="71"/>
        <w:numPr>
          <w:ilvl w:val="0"/>
          <w:numId w:val="0"/>
        </w:numPr>
        <w:wordWrap w:val="0"/>
        <w:adjustRightInd w:val="0"/>
        <w:snapToGrid w:val="0"/>
        <w:ind w:firstLine="398" w:firstLineChars="166"/>
        <w:jc w:val="both"/>
        <w:rPr>
          <w:rFonts w:hint="eastAsia" w:ascii="仿宋" w:hAnsi="仿宋" w:eastAsia="仿宋" w:cs="仿宋"/>
          <w:color w:val="auto"/>
          <w:sz w:val="44"/>
          <w:highlight w:val="none"/>
        </w:rPr>
      </w:pPr>
      <w:r>
        <w:rPr>
          <w:rFonts w:hint="eastAsia" w:ascii="仿宋" w:hAnsi="仿宋" w:eastAsia="仿宋" w:cs="仿宋"/>
          <w:color w:val="auto"/>
          <w:highlight w:val="none"/>
        </w:rPr>
        <w:br w:type="page"/>
      </w:r>
    </w:p>
    <w:p w14:paraId="077CFDF3">
      <w:pPr>
        <w:pStyle w:val="59"/>
        <w:keepNext w:val="0"/>
        <w:keepLines w:val="0"/>
        <w:wordWrap w:val="0"/>
        <w:adjustRightInd w:val="0"/>
        <w:snapToGrid w:val="0"/>
        <w:spacing w:line="360" w:lineRule="auto"/>
        <w:jc w:val="both"/>
        <w:outlineLvl w:val="9"/>
        <w:rPr>
          <w:rFonts w:hint="eastAsia" w:ascii="仿宋" w:hAnsi="仿宋" w:eastAsia="仿宋" w:cs="仿宋"/>
          <w:color w:val="auto"/>
          <w:sz w:val="44"/>
          <w:highlight w:val="none"/>
        </w:rPr>
      </w:pPr>
    </w:p>
    <w:p w14:paraId="1E2678CA">
      <w:pPr>
        <w:pStyle w:val="59"/>
        <w:keepNext w:val="0"/>
        <w:keepLines w:val="0"/>
        <w:wordWrap w:val="0"/>
        <w:adjustRightInd w:val="0"/>
        <w:snapToGrid w:val="0"/>
        <w:spacing w:line="360" w:lineRule="auto"/>
        <w:jc w:val="both"/>
        <w:outlineLvl w:val="9"/>
        <w:rPr>
          <w:rFonts w:hint="eastAsia" w:ascii="仿宋" w:hAnsi="仿宋" w:eastAsia="仿宋" w:cs="仿宋"/>
          <w:color w:val="auto"/>
          <w:sz w:val="44"/>
          <w:highlight w:val="none"/>
        </w:rPr>
      </w:pPr>
    </w:p>
    <w:p w14:paraId="5B027388">
      <w:pPr>
        <w:pStyle w:val="59"/>
        <w:keepNext w:val="0"/>
        <w:keepLines w:val="0"/>
        <w:wordWrap w:val="0"/>
        <w:adjustRightInd w:val="0"/>
        <w:snapToGrid w:val="0"/>
        <w:spacing w:line="360" w:lineRule="auto"/>
        <w:jc w:val="both"/>
        <w:outlineLvl w:val="9"/>
        <w:rPr>
          <w:rFonts w:hint="eastAsia" w:ascii="仿宋" w:hAnsi="仿宋" w:eastAsia="仿宋" w:cs="仿宋"/>
          <w:color w:val="auto"/>
          <w:sz w:val="44"/>
          <w:highlight w:val="none"/>
        </w:rPr>
      </w:pPr>
    </w:p>
    <w:p w14:paraId="0DF1ACBF">
      <w:pPr>
        <w:pStyle w:val="59"/>
        <w:keepNext w:val="0"/>
        <w:keepLines w:val="0"/>
        <w:wordWrap w:val="0"/>
        <w:adjustRightInd w:val="0"/>
        <w:snapToGrid w:val="0"/>
        <w:spacing w:line="360" w:lineRule="auto"/>
        <w:outlineLvl w:val="9"/>
        <w:rPr>
          <w:rFonts w:hint="eastAsia" w:ascii="仿宋" w:hAnsi="仿宋" w:eastAsia="仿宋" w:cs="仿宋"/>
          <w:color w:val="auto"/>
          <w:sz w:val="44"/>
          <w:highlight w:val="none"/>
        </w:rPr>
      </w:pPr>
    </w:p>
    <w:p w14:paraId="6BD3FFF2">
      <w:pPr>
        <w:pStyle w:val="2"/>
        <w:keepNext w:val="0"/>
        <w:keepLines w:val="0"/>
        <w:wordWrap w:val="0"/>
        <w:adjustRightInd w:val="0"/>
        <w:snapToGrid w:val="0"/>
        <w:spacing w:line="360" w:lineRule="auto"/>
        <w:rPr>
          <w:rFonts w:hint="eastAsia" w:ascii="仿宋" w:hAnsi="仿宋" w:eastAsia="仿宋" w:cs="仿宋"/>
          <w:color w:val="auto"/>
          <w:sz w:val="44"/>
          <w:highlight w:val="none"/>
        </w:rPr>
      </w:pPr>
      <w:bookmarkStart w:id="40" w:name="_Toc8288"/>
      <w:bookmarkStart w:id="41" w:name="_Toc2964"/>
      <w:bookmarkStart w:id="42" w:name="_Toc34"/>
      <w:bookmarkStart w:id="43" w:name="_Toc30302"/>
      <w:bookmarkStart w:id="44" w:name="_Toc1088"/>
      <w:bookmarkStart w:id="45" w:name="_Toc18098"/>
      <w:bookmarkStart w:id="46" w:name="_Toc16343"/>
      <w:bookmarkStart w:id="47" w:name="_Toc4983"/>
      <w:bookmarkStart w:id="48" w:name="_Toc20188"/>
      <w:bookmarkStart w:id="49" w:name="_Toc21856"/>
      <w:bookmarkStart w:id="50" w:name="_Toc13712"/>
      <w:bookmarkStart w:id="51" w:name="_Toc27518"/>
      <w:bookmarkStart w:id="52" w:name="_Toc20737"/>
      <w:bookmarkStart w:id="53" w:name="_Toc10047"/>
      <w:bookmarkStart w:id="54" w:name="_Toc29747"/>
      <w:r>
        <w:rPr>
          <w:rFonts w:hint="eastAsia" w:ascii="仿宋" w:hAnsi="仿宋" w:eastAsia="仿宋" w:cs="仿宋"/>
          <w:color w:val="auto"/>
          <w:sz w:val="44"/>
          <w:highlight w:val="none"/>
        </w:rPr>
        <w:t>第四部分　合同书格式</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66CD94A">
      <w:pPr>
        <w:tabs>
          <w:tab w:val="left" w:pos="720"/>
        </w:tabs>
        <w:wordWrap w:val="0"/>
        <w:adjustRightInd w:val="0"/>
        <w:snapToGrid w:val="0"/>
        <w:spacing w:line="360" w:lineRule="auto"/>
        <w:jc w:val="center"/>
        <w:rPr>
          <w:rFonts w:hint="eastAsia" w:ascii="仿宋" w:hAnsi="仿宋" w:eastAsia="仿宋" w:cs="仿宋"/>
          <w:b/>
          <w:color w:val="auto"/>
          <w:sz w:val="72"/>
          <w:szCs w:val="72"/>
          <w:highlight w:val="none"/>
        </w:rPr>
      </w:pPr>
    </w:p>
    <w:p w14:paraId="49439319">
      <w:pPr>
        <w:wordWrap w:val="0"/>
        <w:adjustRightInd w:val="0"/>
        <w:snapToGrid w:val="0"/>
        <w:jc w:val="center"/>
        <w:rPr>
          <w:rFonts w:hint="eastAsia" w:ascii="仿宋" w:hAnsi="仿宋" w:eastAsia="仿宋" w:cs="仿宋"/>
          <w:color w:val="auto"/>
          <w:highlight w:val="none"/>
        </w:rPr>
      </w:pPr>
    </w:p>
    <w:p w14:paraId="782A8ECB">
      <w:pPr>
        <w:wordWrap w:val="0"/>
        <w:adjustRightInd w:val="0"/>
        <w:snapToGrid w:val="0"/>
        <w:jc w:val="center"/>
        <w:rPr>
          <w:rFonts w:hint="eastAsia" w:ascii="仿宋" w:hAnsi="仿宋" w:eastAsia="仿宋" w:cs="仿宋"/>
          <w:color w:val="auto"/>
          <w:highlight w:val="none"/>
        </w:rPr>
      </w:pPr>
    </w:p>
    <w:p w14:paraId="561FBDF2">
      <w:pPr>
        <w:wordWrap w:val="0"/>
        <w:adjustRightInd w:val="0"/>
        <w:snapToGrid w:val="0"/>
        <w:jc w:val="center"/>
        <w:rPr>
          <w:rFonts w:hint="eastAsia" w:ascii="仿宋" w:hAnsi="仿宋" w:eastAsia="仿宋" w:cs="仿宋"/>
          <w:color w:val="auto"/>
          <w:highlight w:val="none"/>
        </w:rPr>
      </w:pPr>
    </w:p>
    <w:p w14:paraId="50BC20A3">
      <w:pPr>
        <w:wordWrap w:val="0"/>
        <w:adjustRightInd w:val="0"/>
        <w:snapToGrid w:val="0"/>
        <w:jc w:val="center"/>
        <w:rPr>
          <w:rFonts w:hint="eastAsia" w:ascii="仿宋" w:hAnsi="仿宋" w:eastAsia="仿宋" w:cs="仿宋"/>
          <w:color w:val="auto"/>
          <w:highlight w:val="none"/>
        </w:rPr>
      </w:pPr>
    </w:p>
    <w:p w14:paraId="7BD8FA6D">
      <w:pPr>
        <w:wordWrap w:val="0"/>
        <w:adjustRightInd w:val="0"/>
        <w:snapToGrid w:val="0"/>
        <w:jc w:val="center"/>
        <w:rPr>
          <w:rFonts w:hint="eastAsia" w:ascii="仿宋" w:hAnsi="仿宋" w:eastAsia="仿宋" w:cs="仿宋"/>
          <w:color w:val="auto"/>
          <w:highlight w:val="none"/>
        </w:rPr>
      </w:pPr>
    </w:p>
    <w:p w14:paraId="7823B4A0">
      <w:pPr>
        <w:wordWrap w:val="0"/>
        <w:adjustRightInd w:val="0"/>
        <w:snapToGrid w:val="0"/>
        <w:jc w:val="center"/>
        <w:rPr>
          <w:rFonts w:hint="eastAsia" w:ascii="仿宋" w:hAnsi="仿宋" w:eastAsia="仿宋" w:cs="仿宋"/>
          <w:color w:val="auto"/>
          <w:highlight w:val="none"/>
        </w:rPr>
      </w:pPr>
    </w:p>
    <w:p w14:paraId="62CCBB1F">
      <w:pPr>
        <w:wordWrap w:val="0"/>
        <w:adjustRightInd w:val="0"/>
        <w:snapToGrid w:val="0"/>
        <w:jc w:val="center"/>
        <w:rPr>
          <w:rFonts w:hint="eastAsia" w:ascii="仿宋" w:hAnsi="仿宋" w:eastAsia="仿宋" w:cs="仿宋"/>
          <w:color w:val="auto"/>
          <w:highlight w:val="none"/>
        </w:rPr>
      </w:pPr>
    </w:p>
    <w:p w14:paraId="59B0ED56">
      <w:pPr>
        <w:wordWrap w:val="0"/>
        <w:adjustRightInd w:val="0"/>
        <w:snapToGrid w:val="0"/>
        <w:jc w:val="center"/>
        <w:rPr>
          <w:rFonts w:hint="eastAsia" w:ascii="仿宋" w:hAnsi="仿宋" w:eastAsia="仿宋" w:cs="仿宋"/>
          <w:color w:val="auto"/>
          <w:highlight w:val="none"/>
        </w:rPr>
      </w:pPr>
    </w:p>
    <w:p w14:paraId="1132CEF9">
      <w:pPr>
        <w:wordWrap w:val="0"/>
        <w:adjustRightInd w:val="0"/>
        <w:snapToGrid w:val="0"/>
        <w:jc w:val="center"/>
        <w:rPr>
          <w:rFonts w:hint="eastAsia" w:ascii="仿宋" w:hAnsi="仿宋" w:eastAsia="仿宋" w:cs="仿宋"/>
          <w:color w:val="auto"/>
          <w:highlight w:val="none"/>
        </w:rPr>
      </w:pPr>
    </w:p>
    <w:p w14:paraId="76249686">
      <w:pPr>
        <w:wordWrap w:val="0"/>
        <w:adjustRightInd w:val="0"/>
        <w:snapToGrid w:val="0"/>
        <w:jc w:val="center"/>
        <w:rPr>
          <w:rFonts w:hint="eastAsia" w:ascii="仿宋" w:hAnsi="仿宋" w:eastAsia="仿宋" w:cs="仿宋"/>
          <w:color w:val="auto"/>
          <w:highlight w:val="none"/>
        </w:rPr>
      </w:pPr>
    </w:p>
    <w:p w14:paraId="2689F38E">
      <w:pPr>
        <w:wordWrap w:val="0"/>
        <w:adjustRightInd w:val="0"/>
        <w:snapToGrid w:val="0"/>
        <w:jc w:val="center"/>
        <w:rPr>
          <w:rFonts w:hint="eastAsia" w:ascii="仿宋" w:hAnsi="仿宋" w:eastAsia="仿宋" w:cs="仿宋"/>
          <w:color w:val="auto"/>
          <w:highlight w:val="none"/>
        </w:rPr>
      </w:pPr>
    </w:p>
    <w:p w14:paraId="1B5D9742">
      <w:pPr>
        <w:wordWrap w:val="0"/>
        <w:adjustRightInd w:val="0"/>
        <w:snapToGrid w:val="0"/>
        <w:jc w:val="center"/>
        <w:rPr>
          <w:rFonts w:hint="eastAsia" w:ascii="仿宋" w:hAnsi="仿宋" w:eastAsia="仿宋" w:cs="仿宋"/>
          <w:color w:val="auto"/>
          <w:highlight w:val="none"/>
        </w:rPr>
      </w:pPr>
    </w:p>
    <w:p w14:paraId="0C2A6F26">
      <w:pPr>
        <w:wordWrap w:val="0"/>
        <w:adjustRightInd w:val="0"/>
        <w:snapToGrid w:val="0"/>
        <w:jc w:val="center"/>
        <w:rPr>
          <w:rFonts w:hint="eastAsia" w:ascii="仿宋" w:hAnsi="仿宋" w:eastAsia="仿宋" w:cs="仿宋"/>
          <w:color w:val="auto"/>
          <w:highlight w:val="none"/>
        </w:rPr>
      </w:pPr>
    </w:p>
    <w:p w14:paraId="533CFEFE">
      <w:pPr>
        <w:wordWrap w:val="0"/>
        <w:adjustRightInd w:val="0"/>
        <w:snapToGrid w:val="0"/>
        <w:jc w:val="center"/>
        <w:rPr>
          <w:rFonts w:hint="eastAsia" w:ascii="仿宋" w:hAnsi="仿宋" w:eastAsia="仿宋" w:cs="仿宋"/>
          <w:color w:val="auto"/>
          <w:highlight w:val="none"/>
        </w:rPr>
      </w:pPr>
    </w:p>
    <w:p w14:paraId="29AC9367">
      <w:pPr>
        <w:wordWrap w:val="0"/>
        <w:adjustRightInd w:val="0"/>
        <w:snapToGrid w:val="0"/>
        <w:jc w:val="center"/>
        <w:rPr>
          <w:rFonts w:hint="eastAsia" w:ascii="仿宋" w:hAnsi="仿宋" w:eastAsia="仿宋" w:cs="仿宋"/>
          <w:color w:val="auto"/>
          <w:highlight w:val="none"/>
        </w:rPr>
      </w:pPr>
    </w:p>
    <w:p w14:paraId="46CB0D38">
      <w:pPr>
        <w:wordWrap w:val="0"/>
        <w:adjustRightInd w:val="0"/>
        <w:snapToGrid w:val="0"/>
        <w:jc w:val="center"/>
        <w:rPr>
          <w:rFonts w:hint="eastAsia" w:ascii="仿宋" w:hAnsi="仿宋" w:eastAsia="仿宋" w:cs="仿宋"/>
          <w:color w:val="auto"/>
          <w:highlight w:val="none"/>
        </w:rPr>
      </w:pPr>
    </w:p>
    <w:p w14:paraId="2F825B73">
      <w:pPr>
        <w:wordWrap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（附注：本合同为合同的参考文本，合同签订前可根据项目的具体要求进行修订。本合同所有条款均在签订合同时编制，确定合同内容依据为</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和</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及相关确认文件。</w:t>
      </w:r>
      <w:r>
        <w:rPr>
          <w:rFonts w:hint="eastAsia" w:ascii="仿宋" w:hAnsi="仿宋" w:eastAsia="仿宋" w:cs="仿宋"/>
          <w:bCs/>
          <w:color w:val="auto"/>
          <w:sz w:val="24"/>
          <w:highlight w:val="none"/>
        </w:rPr>
        <w:t>项目重要内容可作为附件</w:t>
      </w:r>
      <w:r>
        <w:rPr>
          <w:rFonts w:hint="eastAsia" w:ascii="仿宋" w:hAnsi="仿宋" w:eastAsia="仿宋" w:cs="仿宋"/>
          <w:color w:val="auto"/>
          <w:sz w:val="24"/>
          <w:highlight w:val="none"/>
        </w:rPr>
        <w:t>。）</w:t>
      </w:r>
    </w:p>
    <w:p w14:paraId="0655A68E">
      <w:pPr>
        <w:tabs>
          <w:tab w:val="left" w:pos="3710"/>
        </w:tabs>
        <w:wordWrap w:val="0"/>
        <w:adjustRightInd w:val="0"/>
        <w:snapToGrid w:val="0"/>
        <w:rPr>
          <w:rFonts w:hint="eastAsia" w:ascii="仿宋" w:hAnsi="仿宋" w:eastAsia="仿宋" w:cs="仿宋"/>
          <w:color w:val="auto"/>
          <w:highlight w:val="none"/>
        </w:rPr>
        <w:sectPr>
          <w:headerReference r:id="rId14" w:type="first"/>
          <w:pgSz w:w="11906" w:h="16838"/>
          <w:pgMar w:top="1440" w:right="1468" w:bottom="1440" w:left="1440" w:header="850" w:footer="992" w:gutter="0"/>
          <w:pgNumType w:fmt="decimal"/>
          <w:cols w:space="720" w:num="1"/>
          <w:titlePg/>
          <w:docGrid w:linePitch="462" w:charSpace="0"/>
        </w:sectPr>
      </w:pPr>
    </w:p>
    <w:p w14:paraId="659C97D8">
      <w:pPr>
        <w:jc w:val="center"/>
        <w:rPr>
          <w:rFonts w:hint="eastAsia" w:ascii="仿宋" w:hAnsi="仿宋" w:eastAsia="仿宋" w:cs="仿宋"/>
          <w:b/>
          <w:color w:val="auto"/>
          <w:kern w:val="0"/>
          <w:sz w:val="56"/>
          <w:szCs w:val="56"/>
          <w:highlight w:val="none"/>
        </w:rPr>
      </w:pPr>
    </w:p>
    <w:p w14:paraId="37BD2DF2">
      <w:pPr>
        <w:jc w:val="center"/>
        <w:rPr>
          <w:rFonts w:hint="eastAsia" w:ascii="仿宋" w:hAnsi="仿宋" w:eastAsia="仿宋" w:cs="仿宋"/>
          <w:b/>
          <w:color w:val="auto"/>
          <w:kern w:val="0"/>
          <w:sz w:val="56"/>
          <w:szCs w:val="56"/>
          <w:highlight w:val="none"/>
        </w:rPr>
      </w:pPr>
    </w:p>
    <w:p w14:paraId="63E72995">
      <w:pPr>
        <w:jc w:val="center"/>
        <w:rPr>
          <w:rFonts w:hint="eastAsia" w:ascii="仿宋" w:hAnsi="仿宋" w:eastAsia="仿宋" w:cs="仿宋"/>
          <w:b/>
          <w:color w:val="auto"/>
          <w:kern w:val="0"/>
          <w:sz w:val="56"/>
          <w:szCs w:val="56"/>
          <w:highlight w:val="none"/>
        </w:rPr>
      </w:pPr>
    </w:p>
    <w:p w14:paraId="7A09A41E">
      <w:pPr>
        <w:jc w:val="center"/>
        <w:rPr>
          <w:rFonts w:hint="eastAsia" w:ascii="仿宋" w:hAnsi="仿宋" w:eastAsia="仿宋" w:cs="仿宋"/>
          <w:b/>
          <w:color w:val="auto"/>
          <w:kern w:val="0"/>
          <w:sz w:val="56"/>
          <w:szCs w:val="56"/>
          <w:highlight w:val="none"/>
        </w:rPr>
      </w:pPr>
    </w:p>
    <w:p w14:paraId="3F3EA0EE">
      <w:pPr>
        <w:jc w:val="center"/>
        <w:rPr>
          <w:rFonts w:hint="eastAsia" w:ascii="仿宋" w:hAnsi="仿宋" w:eastAsia="仿宋" w:cs="仿宋"/>
          <w:b/>
          <w:color w:val="auto"/>
          <w:kern w:val="0"/>
          <w:sz w:val="56"/>
          <w:szCs w:val="56"/>
          <w:highlight w:val="none"/>
        </w:rPr>
      </w:pPr>
    </w:p>
    <w:p w14:paraId="6BDB9F94">
      <w:pPr>
        <w:jc w:val="center"/>
        <w:rPr>
          <w:rFonts w:hint="eastAsia" w:ascii="仿宋" w:hAnsi="仿宋" w:eastAsia="仿宋" w:cs="仿宋"/>
          <w:b/>
          <w:color w:val="auto"/>
          <w:kern w:val="0"/>
          <w:sz w:val="56"/>
          <w:szCs w:val="56"/>
          <w:highlight w:val="none"/>
        </w:rPr>
      </w:pPr>
    </w:p>
    <w:p w14:paraId="0A687D75">
      <w:pPr>
        <w:jc w:val="center"/>
        <w:rPr>
          <w:rFonts w:hint="eastAsia" w:ascii="仿宋" w:hAnsi="仿宋" w:eastAsia="仿宋" w:cs="仿宋"/>
          <w:b/>
          <w:color w:val="auto"/>
          <w:kern w:val="0"/>
          <w:sz w:val="56"/>
          <w:szCs w:val="56"/>
          <w:highlight w:val="none"/>
        </w:rPr>
      </w:pPr>
      <w:r>
        <w:rPr>
          <w:rFonts w:hint="eastAsia" w:ascii="仿宋" w:hAnsi="仿宋" w:eastAsia="仿宋" w:cs="仿宋"/>
          <w:b/>
          <w:color w:val="auto"/>
          <w:kern w:val="0"/>
          <w:sz w:val="56"/>
          <w:szCs w:val="56"/>
          <w:highlight w:val="none"/>
        </w:rPr>
        <w:t>合同书</w:t>
      </w:r>
    </w:p>
    <w:p w14:paraId="5401596C">
      <w:pPr>
        <w:rPr>
          <w:rFonts w:hint="eastAsia" w:ascii="仿宋" w:hAnsi="仿宋" w:eastAsia="仿宋" w:cs="仿宋"/>
          <w:b/>
          <w:color w:val="auto"/>
          <w:kern w:val="0"/>
          <w:sz w:val="28"/>
          <w:szCs w:val="28"/>
          <w:highlight w:val="none"/>
        </w:rPr>
      </w:pPr>
    </w:p>
    <w:p w14:paraId="1CF912FA">
      <w:pPr>
        <w:rPr>
          <w:rFonts w:hint="eastAsia" w:ascii="仿宋" w:hAnsi="仿宋" w:eastAsia="仿宋" w:cs="仿宋"/>
          <w:b/>
          <w:color w:val="auto"/>
          <w:kern w:val="0"/>
          <w:sz w:val="28"/>
          <w:szCs w:val="28"/>
          <w:highlight w:val="none"/>
        </w:rPr>
      </w:pPr>
    </w:p>
    <w:p w14:paraId="27971DD7">
      <w:pPr>
        <w:rPr>
          <w:rFonts w:hint="eastAsia" w:ascii="仿宋" w:hAnsi="仿宋" w:eastAsia="仿宋" w:cs="仿宋"/>
          <w:b/>
          <w:color w:val="auto"/>
          <w:kern w:val="0"/>
          <w:sz w:val="28"/>
          <w:szCs w:val="28"/>
          <w:highlight w:val="none"/>
        </w:rPr>
      </w:pPr>
    </w:p>
    <w:p w14:paraId="027D43C0">
      <w:pPr>
        <w:rPr>
          <w:rFonts w:hint="eastAsia" w:ascii="仿宋" w:hAnsi="仿宋" w:eastAsia="仿宋" w:cs="仿宋"/>
          <w:b/>
          <w:color w:val="auto"/>
          <w:kern w:val="0"/>
          <w:sz w:val="28"/>
          <w:szCs w:val="28"/>
          <w:highlight w:val="none"/>
        </w:rPr>
      </w:pPr>
    </w:p>
    <w:p w14:paraId="15CE30BD">
      <w:pPr>
        <w:rPr>
          <w:rFonts w:hint="eastAsia" w:ascii="仿宋" w:hAnsi="仿宋" w:eastAsia="仿宋" w:cs="仿宋"/>
          <w:b/>
          <w:color w:val="auto"/>
          <w:kern w:val="0"/>
          <w:sz w:val="28"/>
          <w:szCs w:val="28"/>
          <w:highlight w:val="none"/>
        </w:rPr>
      </w:pPr>
    </w:p>
    <w:tbl>
      <w:tblPr>
        <w:tblStyle w:val="23"/>
        <w:tblW w:w="7144" w:type="dxa"/>
        <w:jc w:val="center"/>
        <w:tblLayout w:type="fixed"/>
        <w:tblCellMar>
          <w:top w:w="0" w:type="dxa"/>
          <w:left w:w="108" w:type="dxa"/>
          <w:bottom w:w="0" w:type="dxa"/>
          <w:right w:w="108" w:type="dxa"/>
        </w:tblCellMar>
      </w:tblPr>
      <w:tblGrid>
        <w:gridCol w:w="1668"/>
        <w:gridCol w:w="5476"/>
      </w:tblGrid>
      <w:tr w14:paraId="04B650BA">
        <w:trPr>
          <w:trHeight w:val="567" w:hRule="atLeast"/>
          <w:jc w:val="center"/>
        </w:trPr>
        <w:tc>
          <w:tcPr>
            <w:tcW w:w="1668" w:type="dxa"/>
            <w:vAlign w:val="center"/>
          </w:tcPr>
          <w:p w14:paraId="2E7D0941">
            <w:pPr>
              <w:keepNext w:val="0"/>
              <w:keepLines w:val="0"/>
              <w:suppressLineNumbers w:val="0"/>
              <w:wordWrap w:val="0"/>
              <w:spacing w:before="0" w:beforeAutospacing="0" w:after="0" w:afterAutospacing="0" w:line="360" w:lineRule="auto"/>
              <w:ind w:left="0" w:right="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项目编号：</w:t>
            </w:r>
          </w:p>
        </w:tc>
        <w:tc>
          <w:tcPr>
            <w:tcW w:w="5476" w:type="dxa"/>
            <w:vAlign w:val="center"/>
          </w:tcPr>
          <w:p w14:paraId="78A304FD">
            <w:pPr>
              <w:keepNext w:val="0"/>
              <w:keepLines w:val="0"/>
              <w:suppressLineNumbers w:val="0"/>
              <w:wordWrap w:val="0"/>
              <w:spacing w:before="0" w:beforeAutospacing="0" w:after="0" w:afterAutospacing="0" w:line="360" w:lineRule="auto"/>
              <w:ind w:left="0" w:right="0"/>
              <w:rPr>
                <w:rFonts w:hint="eastAsia" w:ascii="仿宋" w:hAnsi="仿宋" w:eastAsia="仿宋" w:cs="仿宋"/>
                <w:b/>
                <w:color w:val="auto"/>
                <w:kern w:val="0"/>
                <w:sz w:val="28"/>
                <w:szCs w:val="28"/>
                <w:highlight w:val="none"/>
                <w:lang w:eastAsia="zh-CN"/>
              </w:rPr>
            </w:pPr>
            <w:r>
              <w:rPr>
                <w:rFonts w:hint="eastAsia" w:ascii="仿宋" w:hAnsi="仿宋" w:eastAsia="仿宋" w:cs="仿宋"/>
                <w:b/>
                <w:color w:val="auto"/>
                <w:kern w:val="0"/>
                <w:sz w:val="28"/>
                <w:szCs w:val="28"/>
                <w:highlight w:val="none"/>
                <w:lang w:eastAsia="zh-CN"/>
              </w:rPr>
              <w:t xml:space="preserve">JG        </w:t>
            </w:r>
          </w:p>
        </w:tc>
      </w:tr>
      <w:tr w14:paraId="35CDAB1F">
        <w:trPr>
          <w:trHeight w:val="413" w:hRule="atLeast"/>
          <w:jc w:val="center"/>
        </w:trPr>
        <w:tc>
          <w:tcPr>
            <w:tcW w:w="1668" w:type="dxa"/>
            <w:vAlign w:val="center"/>
          </w:tcPr>
          <w:p w14:paraId="66C7D803">
            <w:pPr>
              <w:keepNext w:val="0"/>
              <w:keepLines w:val="0"/>
              <w:suppressLineNumbers w:val="0"/>
              <w:wordWrap w:val="0"/>
              <w:spacing w:before="0" w:beforeAutospacing="0" w:after="0" w:afterAutospacing="0" w:line="360" w:lineRule="auto"/>
              <w:ind w:left="0" w:right="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项目名称：</w:t>
            </w:r>
          </w:p>
        </w:tc>
        <w:tc>
          <w:tcPr>
            <w:tcW w:w="5476" w:type="dxa"/>
            <w:vAlign w:val="center"/>
          </w:tcPr>
          <w:p w14:paraId="1F267394">
            <w:pPr>
              <w:keepNext w:val="0"/>
              <w:keepLines w:val="0"/>
              <w:suppressLineNumbers w:val="0"/>
              <w:wordWrap w:val="0"/>
              <w:spacing w:before="0" w:beforeAutospacing="0" w:after="0" w:afterAutospacing="0" w:line="360" w:lineRule="auto"/>
              <w:ind w:left="0" w:right="0"/>
              <w:rPr>
                <w:rFonts w:hint="eastAsia" w:ascii="仿宋" w:hAnsi="仿宋" w:eastAsia="仿宋" w:cs="仿宋"/>
                <w:b/>
                <w:color w:val="auto"/>
                <w:kern w:val="0"/>
                <w:sz w:val="28"/>
                <w:szCs w:val="28"/>
                <w:highlight w:val="none"/>
                <w:lang w:eastAsia="zh-CN"/>
              </w:rPr>
            </w:pPr>
            <w:r>
              <w:rPr>
                <w:rFonts w:hint="eastAsia" w:ascii="仿宋" w:hAnsi="仿宋" w:eastAsia="仿宋" w:cs="仿宋"/>
                <w:b/>
                <w:color w:val="auto"/>
                <w:kern w:val="0"/>
                <w:sz w:val="28"/>
                <w:szCs w:val="28"/>
                <w:highlight w:val="none"/>
                <w:lang w:eastAsia="zh-CN"/>
              </w:rPr>
              <w:t>桂城街道叠北社区市政管理一体化服务</w:t>
            </w:r>
          </w:p>
        </w:tc>
      </w:tr>
      <w:tr w14:paraId="537A2891">
        <w:trPr>
          <w:trHeight w:val="413" w:hRule="atLeast"/>
          <w:jc w:val="center"/>
        </w:trPr>
        <w:tc>
          <w:tcPr>
            <w:tcW w:w="1668" w:type="dxa"/>
            <w:vAlign w:val="center"/>
          </w:tcPr>
          <w:p w14:paraId="50336D37">
            <w:pPr>
              <w:keepNext w:val="0"/>
              <w:keepLines w:val="0"/>
              <w:suppressLineNumbers w:val="0"/>
              <w:wordWrap w:val="0"/>
              <w:spacing w:before="0" w:beforeAutospacing="0" w:after="0" w:afterAutospacing="0" w:line="360" w:lineRule="auto"/>
              <w:ind w:left="0" w:right="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甲    方：</w:t>
            </w:r>
          </w:p>
        </w:tc>
        <w:tc>
          <w:tcPr>
            <w:tcW w:w="5476" w:type="dxa"/>
            <w:vAlign w:val="center"/>
          </w:tcPr>
          <w:p w14:paraId="55BBCED4">
            <w:pPr>
              <w:keepNext w:val="0"/>
              <w:keepLines w:val="0"/>
              <w:suppressLineNumbers w:val="0"/>
              <w:wordWrap w:val="0"/>
              <w:spacing w:before="0" w:beforeAutospacing="0" w:after="0" w:afterAutospacing="0" w:line="360" w:lineRule="auto"/>
              <w:ind w:left="0" w:right="0"/>
              <w:rPr>
                <w:rFonts w:hint="eastAsia" w:ascii="仿宋" w:hAnsi="仿宋" w:eastAsia="仿宋" w:cs="仿宋"/>
                <w:b/>
                <w:color w:val="auto"/>
                <w:kern w:val="0"/>
                <w:sz w:val="28"/>
                <w:szCs w:val="28"/>
                <w:highlight w:val="none"/>
                <w:lang w:eastAsia="zh-CN"/>
              </w:rPr>
            </w:pPr>
            <w:r>
              <w:rPr>
                <w:rFonts w:hint="eastAsia" w:ascii="仿宋" w:hAnsi="仿宋" w:eastAsia="仿宋" w:cs="仿宋"/>
                <w:b/>
                <w:color w:val="auto"/>
                <w:kern w:val="0"/>
                <w:sz w:val="28"/>
                <w:szCs w:val="28"/>
                <w:highlight w:val="none"/>
                <w:lang w:eastAsia="zh-CN"/>
              </w:rPr>
              <w:t>佛山市南海区桂城街叠南社区居民委员会</w:t>
            </w:r>
          </w:p>
        </w:tc>
      </w:tr>
      <w:tr w14:paraId="34FC2663">
        <w:trPr>
          <w:trHeight w:val="413" w:hRule="atLeast"/>
          <w:jc w:val="center"/>
        </w:trPr>
        <w:tc>
          <w:tcPr>
            <w:tcW w:w="1668" w:type="dxa"/>
            <w:vAlign w:val="center"/>
          </w:tcPr>
          <w:p w14:paraId="45E9EE72">
            <w:pPr>
              <w:keepNext w:val="0"/>
              <w:keepLines w:val="0"/>
              <w:suppressLineNumbers w:val="0"/>
              <w:wordWrap w:val="0"/>
              <w:spacing w:before="0" w:beforeAutospacing="0" w:after="0" w:afterAutospacing="0" w:line="360" w:lineRule="auto"/>
              <w:ind w:left="0" w:right="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乙    方：</w:t>
            </w:r>
          </w:p>
        </w:tc>
        <w:tc>
          <w:tcPr>
            <w:tcW w:w="5476" w:type="dxa"/>
            <w:vAlign w:val="center"/>
          </w:tcPr>
          <w:p w14:paraId="311B0DAE">
            <w:pPr>
              <w:keepNext w:val="0"/>
              <w:keepLines w:val="0"/>
              <w:suppressLineNumbers w:val="0"/>
              <w:wordWrap w:val="0"/>
              <w:spacing w:before="0" w:beforeAutospacing="0" w:after="0" w:afterAutospacing="0" w:line="360" w:lineRule="auto"/>
              <w:ind w:left="0" w:right="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w:t>
            </w:r>
            <w:r>
              <w:rPr>
                <w:rFonts w:hint="eastAsia" w:ascii="仿宋" w:hAnsi="仿宋" w:eastAsia="仿宋" w:cs="仿宋"/>
                <w:b/>
                <w:color w:val="auto"/>
                <w:kern w:val="0"/>
                <w:sz w:val="28"/>
                <w:szCs w:val="28"/>
                <w:highlight w:val="none"/>
                <w:lang w:eastAsia="zh-CN"/>
              </w:rPr>
              <w:t>中标人</w:t>
            </w:r>
            <w:r>
              <w:rPr>
                <w:rFonts w:hint="eastAsia" w:ascii="仿宋" w:hAnsi="仿宋" w:eastAsia="仿宋" w:cs="仿宋"/>
                <w:b/>
                <w:color w:val="auto"/>
                <w:kern w:val="0"/>
                <w:sz w:val="28"/>
                <w:szCs w:val="28"/>
                <w:highlight w:val="none"/>
              </w:rPr>
              <w:t>名称）</w:t>
            </w:r>
          </w:p>
        </w:tc>
      </w:tr>
    </w:tbl>
    <w:p w14:paraId="4A888E97">
      <w:pP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ab/>
      </w:r>
      <w:r>
        <w:rPr>
          <w:rFonts w:hint="eastAsia" w:ascii="仿宋" w:hAnsi="仿宋" w:eastAsia="仿宋" w:cs="仿宋"/>
          <w:b/>
          <w:color w:val="auto"/>
          <w:kern w:val="0"/>
          <w:sz w:val="28"/>
          <w:szCs w:val="28"/>
          <w:highlight w:val="none"/>
        </w:rPr>
        <w:tab/>
      </w:r>
      <w:r>
        <w:rPr>
          <w:rFonts w:hint="eastAsia" w:ascii="仿宋" w:hAnsi="仿宋" w:eastAsia="仿宋" w:cs="仿宋"/>
          <w:b/>
          <w:color w:val="auto"/>
          <w:kern w:val="0"/>
          <w:sz w:val="28"/>
          <w:szCs w:val="28"/>
          <w:highlight w:val="none"/>
        </w:rPr>
        <w:tab/>
      </w:r>
    </w:p>
    <w:p w14:paraId="41C416E3">
      <w:pP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ab/>
      </w:r>
    </w:p>
    <w:p w14:paraId="1C1344A0">
      <w:pP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br w:type="page"/>
      </w:r>
    </w:p>
    <w:p w14:paraId="05E38315">
      <w:pPr>
        <w:keepNext/>
        <w:keepLines/>
        <w:wordWrap w:val="0"/>
        <w:adjustRightInd w:val="0"/>
        <w:snapToGrid w:val="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合同书</w:t>
      </w:r>
    </w:p>
    <w:p w14:paraId="4F96F565">
      <w:pPr>
        <w:pStyle w:val="68"/>
        <w:keepNext/>
        <w:keepLines/>
        <w:wordWrap w:val="0"/>
        <w:adjustRightInd w:val="0"/>
        <w:snapToGrid w:val="0"/>
        <w:spacing w:line="360" w:lineRule="auto"/>
        <w:rPr>
          <w:rFonts w:hint="eastAsia" w:ascii="仿宋" w:hAnsi="仿宋" w:eastAsia="仿宋" w:cs="仿宋"/>
          <w:color w:val="auto"/>
          <w:sz w:val="22"/>
          <w:highlight w:val="none"/>
        </w:rPr>
      </w:pPr>
    </w:p>
    <w:tbl>
      <w:tblPr>
        <w:tblStyle w:val="23"/>
        <w:tblW w:w="8472" w:type="dxa"/>
        <w:jc w:val="center"/>
        <w:tblLayout w:type="fixed"/>
        <w:tblCellMar>
          <w:top w:w="0" w:type="dxa"/>
          <w:left w:w="108" w:type="dxa"/>
          <w:bottom w:w="0" w:type="dxa"/>
          <w:right w:w="108" w:type="dxa"/>
        </w:tblCellMar>
      </w:tblPr>
      <w:tblGrid>
        <w:gridCol w:w="1668"/>
        <w:gridCol w:w="6804"/>
      </w:tblGrid>
      <w:tr w14:paraId="02914058">
        <w:tblPrEx>
          <w:tblCellMar>
            <w:top w:w="0" w:type="dxa"/>
            <w:left w:w="108" w:type="dxa"/>
            <w:bottom w:w="0" w:type="dxa"/>
            <w:right w:w="108" w:type="dxa"/>
          </w:tblCellMar>
        </w:tblPrEx>
        <w:trPr>
          <w:trHeight w:val="567" w:hRule="atLeast"/>
          <w:jc w:val="center"/>
        </w:trPr>
        <w:tc>
          <w:tcPr>
            <w:tcW w:w="1668" w:type="dxa"/>
            <w:vAlign w:val="center"/>
          </w:tcPr>
          <w:p w14:paraId="54E12989">
            <w:pPr>
              <w:pStyle w:val="58"/>
              <w:keepNext/>
              <w:keepLines/>
              <w:suppressLineNumbers w:val="0"/>
              <w:wordWrap w:val="0"/>
              <w:adjustRightInd w:val="0"/>
              <w:snapToGrid w:val="0"/>
              <w:spacing w:before="0" w:beforeAutospacing="0" w:after="0" w:afterAutospacing="0"/>
              <w:ind w:left="0" w:right="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项目编号：</w:t>
            </w:r>
          </w:p>
        </w:tc>
        <w:tc>
          <w:tcPr>
            <w:tcW w:w="6804" w:type="dxa"/>
            <w:vAlign w:val="center"/>
          </w:tcPr>
          <w:p w14:paraId="7D804C00">
            <w:pPr>
              <w:pStyle w:val="58"/>
              <w:keepNext/>
              <w:keepLines/>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 xml:space="preserve">JG       </w:t>
            </w:r>
            <w:r>
              <w:rPr>
                <w:rFonts w:hint="eastAsia" w:ascii="仿宋" w:hAnsi="仿宋" w:eastAsia="仿宋" w:cs="仿宋"/>
                <w:color w:val="auto"/>
                <w:sz w:val="24"/>
                <w:highlight w:val="none"/>
                <w:u w:val="single"/>
              </w:rPr>
              <w:t xml:space="preserve"> </w:t>
            </w:r>
          </w:p>
        </w:tc>
      </w:tr>
      <w:tr w14:paraId="32429A0C">
        <w:tblPrEx>
          <w:tblCellMar>
            <w:top w:w="0" w:type="dxa"/>
            <w:left w:w="108" w:type="dxa"/>
            <w:bottom w:w="0" w:type="dxa"/>
            <w:right w:w="108" w:type="dxa"/>
          </w:tblCellMar>
        </w:tblPrEx>
        <w:trPr>
          <w:trHeight w:val="567" w:hRule="atLeast"/>
          <w:jc w:val="center"/>
        </w:trPr>
        <w:tc>
          <w:tcPr>
            <w:tcW w:w="1668" w:type="dxa"/>
            <w:vAlign w:val="center"/>
          </w:tcPr>
          <w:p w14:paraId="21BD85AF">
            <w:pPr>
              <w:pStyle w:val="58"/>
              <w:keepNext/>
              <w:keepLines/>
              <w:suppressLineNumbers w:val="0"/>
              <w:wordWrap w:val="0"/>
              <w:adjustRightInd w:val="0"/>
              <w:snapToGrid w:val="0"/>
              <w:spacing w:before="0" w:beforeAutospacing="0" w:after="0" w:afterAutospacing="0"/>
              <w:ind w:left="0" w:right="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项目名称：</w:t>
            </w:r>
          </w:p>
        </w:tc>
        <w:tc>
          <w:tcPr>
            <w:tcW w:w="6804" w:type="dxa"/>
            <w:vAlign w:val="center"/>
          </w:tcPr>
          <w:p w14:paraId="1A355F26">
            <w:pPr>
              <w:pStyle w:val="58"/>
              <w:keepNext/>
              <w:keepLines/>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u w:val="single"/>
                <w:lang w:eastAsia="zh-CN"/>
              </w:rPr>
              <w:t>桂城街道叠北社区市政管理一体化服务</w:t>
            </w:r>
          </w:p>
        </w:tc>
      </w:tr>
      <w:tr w14:paraId="4A618314">
        <w:tblPrEx>
          <w:tblCellMar>
            <w:top w:w="0" w:type="dxa"/>
            <w:left w:w="108" w:type="dxa"/>
            <w:bottom w:w="0" w:type="dxa"/>
            <w:right w:w="108" w:type="dxa"/>
          </w:tblCellMar>
        </w:tblPrEx>
        <w:trPr>
          <w:trHeight w:val="413" w:hRule="atLeast"/>
          <w:jc w:val="center"/>
        </w:trPr>
        <w:tc>
          <w:tcPr>
            <w:tcW w:w="1668" w:type="dxa"/>
            <w:vAlign w:val="center"/>
          </w:tcPr>
          <w:p w14:paraId="618B5F99">
            <w:pPr>
              <w:pStyle w:val="58"/>
              <w:keepNext/>
              <w:keepLines/>
              <w:suppressLineNumbers w:val="0"/>
              <w:wordWrap w:val="0"/>
              <w:adjustRightInd w:val="0"/>
              <w:snapToGrid w:val="0"/>
              <w:spacing w:before="0" w:beforeAutospacing="0" w:after="0" w:afterAutospacing="0"/>
              <w:ind w:left="0" w:right="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甲    方：</w:t>
            </w:r>
          </w:p>
        </w:tc>
        <w:tc>
          <w:tcPr>
            <w:tcW w:w="6804" w:type="dxa"/>
            <w:vAlign w:val="center"/>
          </w:tcPr>
          <w:p w14:paraId="4E849496">
            <w:pPr>
              <w:pStyle w:val="58"/>
              <w:keepNext/>
              <w:keepLines/>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u w:val="single"/>
                <w:lang w:eastAsia="zh-CN"/>
              </w:rPr>
              <w:t>佛山市南海区桂城街叠北社区居民委员会</w:t>
            </w:r>
          </w:p>
        </w:tc>
      </w:tr>
      <w:tr w14:paraId="54F91766">
        <w:tblPrEx>
          <w:tblCellMar>
            <w:top w:w="0" w:type="dxa"/>
            <w:left w:w="108" w:type="dxa"/>
            <w:bottom w:w="0" w:type="dxa"/>
            <w:right w:w="108" w:type="dxa"/>
          </w:tblCellMar>
        </w:tblPrEx>
        <w:trPr>
          <w:trHeight w:val="413" w:hRule="atLeast"/>
          <w:jc w:val="center"/>
        </w:trPr>
        <w:tc>
          <w:tcPr>
            <w:tcW w:w="1668" w:type="dxa"/>
            <w:vAlign w:val="center"/>
          </w:tcPr>
          <w:p w14:paraId="3B1CBC9A">
            <w:pPr>
              <w:pStyle w:val="58"/>
              <w:keepNext/>
              <w:keepLines/>
              <w:suppressLineNumbers w:val="0"/>
              <w:wordWrap w:val="0"/>
              <w:adjustRightInd w:val="0"/>
              <w:snapToGrid w:val="0"/>
              <w:spacing w:before="0" w:beforeAutospacing="0" w:after="0" w:afterAutospacing="0"/>
              <w:ind w:left="0" w:right="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乙    方：</w:t>
            </w:r>
          </w:p>
        </w:tc>
        <w:tc>
          <w:tcPr>
            <w:tcW w:w="6804" w:type="dxa"/>
            <w:vAlign w:val="center"/>
          </w:tcPr>
          <w:p w14:paraId="764EE651">
            <w:pPr>
              <w:pStyle w:val="58"/>
              <w:keepNext/>
              <w:keepLines/>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eastAsia="zh-CN"/>
              </w:rPr>
              <w:t>中标人</w:t>
            </w:r>
            <w:r>
              <w:rPr>
                <w:rFonts w:hint="eastAsia" w:ascii="仿宋" w:hAnsi="仿宋" w:eastAsia="仿宋" w:cs="仿宋"/>
                <w:color w:val="auto"/>
                <w:sz w:val="24"/>
                <w:highlight w:val="none"/>
                <w:u w:val="single"/>
              </w:rPr>
              <w:t>名称）</w:t>
            </w:r>
          </w:p>
        </w:tc>
      </w:tr>
    </w:tbl>
    <w:p w14:paraId="15CEE8FF">
      <w:pPr>
        <w:pStyle w:val="68"/>
        <w:keepNext/>
        <w:keepLines/>
        <w:wordWrap w:val="0"/>
        <w:adjustRightInd w:val="0"/>
        <w:snapToGrid w:val="0"/>
        <w:spacing w:line="360" w:lineRule="auto"/>
        <w:rPr>
          <w:rFonts w:hint="eastAsia" w:ascii="仿宋" w:hAnsi="仿宋" w:eastAsia="仿宋" w:cs="仿宋"/>
          <w:color w:val="auto"/>
          <w:sz w:val="24"/>
          <w:szCs w:val="24"/>
          <w:highlight w:val="none"/>
        </w:rPr>
      </w:pPr>
    </w:p>
    <w:p w14:paraId="43D1699A">
      <w:pPr>
        <w:keepLines/>
        <w:adjustRightInd w:val="0"/>
        <w:snapToGrid w:val="0"/>
        <w:spacing w:line="360" w:lineRule="auto"/>
        <w:ind w:firstLine="547" w:firstLineChars="228"/>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根据《中华人民共和国民法典》和本项目</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的要求，</w:t>
      </w:r>
      <w:r>
        <w:rPr>
          <w:rFonts w:hint="eastAsia" w:ascii="仿宋" w:hAnsi="仿宋" w:eastAsia="仿宋" w:cs="仿宋"/>
          <w:color w:val="auto"/>
          <w:kern w:val="28"/>
          <w:sz w:val="24"/>
          <w:highlight w:val="none"/>
        </w:rPr>
        <w:t>经双方协商，</w:t>
      </w:r>
      <w:r>
        <w:rPr>
          <w:rFonts w:hint="eastAsia" w:ascii="仿宋" w:hAnsi="仿宋" w:eastAsia="仿宋" w:cs="仿宋"/>
          <w:color w:val="auto"/>
          <w:sz w:val="24"/>
          <w:highlight w:val="none"/>
        </w:rPr>
        <w:t>本着平等互利和诚实信用的原则，</w:t>
      </w:r>
      <w:r>
        <w:rPr>
          <w:rFonts w:hint="eastAsia" w:ascii="仿宋" w:hAnsi="仿宋" w:eastAsia="仿宋" w:cs="仿宋"/>
          <w:color w:val="auto"/>
          <w:kern w:val="28"/>
          <w:sz w:val="24"/>
          <w:highlight w:val="none"/>
        </w:rPr>
        <w:t>一致同意签订本合同如下。</w:t>
      </w:r>
    </w:p>
    <w:p w14:paraId="37D4DAE8">
      <w:pPr>
        <w:widowControl/>
        <w:snapToGrid w:val="0"/>
        <w:spacing w:line="360" w:lineRule="auto"/>
        <w:ind w:firstLine="482" w:firstLineChars="200"/>
        <w:jc w:val="left"/>
        <w:rPr>
          <w:rFonts w:hint="eastAsia" w:ascii="仿宋" w:hAnsi="仿宋" w:eastAsia="仿宋"/>
          <w:b/>
          <w:bCs/>
          <w:color w:val="auto"/>
          <w:sz w:val="24"/>
          <w:highlight w:val="none"/>
        </w:rPr>
      </w:pPr>
      <w:r>
        <w:rPr>
          <w:rFonts w:hint="eastAsia" w:ascii="仿宋" w:hAnsi="仿宋" w:eastAsia="仿宋" w:cs="仿宋"/>
          <w:b/>
          <w:bCs/>
          <w:color w:val="auto"/>
          <w:sz w:val="24"/>
          <w:szCs w:val="24"/>
          <w:highlight w:val="none"/>
          <w:u w:val="none"/>
          <w:lang w:val="en-US" w:eastAsia="zh-CN"/>
        </w:rPr>
        <w:t>一、</w:t>
      </w:r>
      <w:r>
        <w:rPr>
          <w:rFonts w:hint="eastAsia" w:ascii="仿宋" w:hAnsi="仿宋" w:eastAsia="仿宋"/>
          <w:b/>
          <w:bCs/>
          <w:color w:val="auto"/>
          <w:sz w:val="24"/>
          <w:highlight w:val="none"/>
        </w:rPr>
        <w:t>服务内容概述</w:t>
      </w:r>
    </w:p>
    <w:p w14:paraId="03CA49F1">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lang w:eastAsia="zh-CN"/>
        </w:rPr>
        <w:t>本项目为</w:t>
      </w:r>
      <w:r>
        <w:rPr>
          <w:rFonts w:hint="eastAsia" w:ascii="仿宋" w:hAnsi="仿宋" w:eastAsia="仿宋"/>
          <w:color w:val="auto"/>
          <w:sz w:val="24"/>
          <w:highlight w:val="none"/>
        </w:rPr>
        <w:t>确保</w:t>
      </w:r>
      <w:r>
        <w:rPr>
          <w:rFonts w:hint="eastAsia" w:ascii="仿宋" w:hAnsi="仿宋" w:eastAsia="仿宋"/>
          <w:color w:val="auto"/>
          <w:sz w:val="24"/>
          <w:highlight w:val="none"/>
          <w:lang w:eastAsia="zh-CN"/>
        </w:rPr>
        <w:t>叠</w:t>
      </w:r>
      <w:r>
        <w:rPr>
          <w:rFonts w:hint="eastAsia" w:ascii="仿宋" w:hAnsi="仿宋" w:eastAsia="仿宋" w:cs="仿宋"/>
          <w:color w:val="auto"/>
          <w:sz w:val="24"/>
          <w:highlight w:val="none"/>
          <w:u w:val="single"/>
          <w:lang w:eastAsia="zh-CN"/>
        </w:rPr>
        <w:t>北</w:t>
      </w:r>
      <w:r>
        <w:rPr>
          <w:rFonts w:hint="eastAsia" w:ascii="仿宋" w:hAnsi="仿宋" w:eastAsia="仿宋"/>
          <w:color w:val="auto"/>
          <w:sz w:val="24"/>
          <w:highlight w:val="none"/>
        </w:rPr>
        <w:t>社区范围生活居住、营商环境的品质，进一步做好社区环境管理工作。</w:t>
      </w:r>
    </w:p>
    <w:p w14:paraId="6CE2782F">
      <w:pPr>
        <w:tabs>
          <w:tab w:val="left" w:pos="426"/>
        </w:tabs>
        <w:spacing w:line="360" w:lineRule="auto"/>
        <w:ind w:firstLine="482" w:firstLineChars="200"/>
        <w:jc w:val="left"/>
        <w:rPr>
          <w:rFonts w:hint="eastAsia" w:ascii="仿宋" w:hAnsi="仿宋" w:eastAsia="仿宋" w:cs="仿宋"/>
          <w:color w:val="auto"/>
          <w:sz w:val="24"/>
          <w:highlight w:val="none"/>
          <w:u w:val="none"/>
        </w:rPr>
      </w:pPr>
      <w:r>
        <w:rPr>
          <w:rFonts w:hint="eastAsia" w:ascii="仿宋" w:hAnsi="仿宋" w:eastAsia="仿宋" w:cs="仿宋"/>
          <w:b/>
          <w:bCs/>
          <w:color w:val="auto"/>
          <w:sz w:val="24"/>
          <w:szCs w:val="24"/>
          <w:highlight w:val="none"/>
          <w:u w:val="none"/>
          <w:lang w:val="en-US" w:eastAsia="zh-CN"/>
        </w:rPr>
        <w:t>二、</w:t>
      </w:r>
      <w:r>
        <w:rPr>
          <w:rFonts w:hint="eastAsia" w:ascii="仿宋" w:hAnsi="仿宋" w:eastAsia="仿宋" w:cs="仿宋"/>
          <w:b/>
          <w:bCs/>
          <w:color w:val="auto"/>
          <w:sz w:val="24"/>
          <w:highlight w:val="none"/>
          <w:u w:val="none"/>
        </w:rPr>
        <w:t>合同金额</w:t>
      </w:r>
    </w:p>
    <w:p w14:paraId="651E7D4E">
      <w:pPr>
        <w:tabs>
          <w:tab w:val="left" w:pos="426"/>
        </w:tabs>
        <w:spacing w:line="360" w:lineRule="auto"/>
        <w:ind w:firstLine="482" w:firstLineChars="200"/>
        <w:jc w:val="left"/>
        <w:rPr>
          <w:rFonts w:hint="default" w:ascii="仿宋" w:hAnsi="仿宋" w:eastAsia="仿宋" w:cs="仿宋"/>
          <w:b/>
          <w:bCs/>
          <w:color w:val="auto"/>
          <w:sz w:val="24"/>
          <w:highlight w:val="none"/>
          <w:u w:val="none"/>
          <w:lang w:val="en-US" w:eastAsia="zh-CN"/>
        </w:rPr>
      </w:pPr>
      <w:r>
        <w:rPr>
          <w:rFonts w:hint="eastAsia" w:ascii="仿宋" w:hAnsi="仿宋" w:eastAsia="仿宋" w:cs="仿宋"/>
          <w:b/>
          <w:bCs/>
          <w:color w:val="auto"/>
          <w:sz w:val="24"/>
          <w:highlight w:val="none"/>
          <w:u w:val="none"/>
          <w:lang w:eastAsia="zh-CN"/>
        </w:rPr>
        <w:t>合同金额：大写人民币</w:t>
      </w:r>
      <w:r>
        <w:rPr>
          <w:rFonts w:hint="eastAsia" w:ascii="仿宋" w:hAnsi="仿宋" w:eastAsia="仿宋" w:cs="仿宋"/>
          <w:b/>
          <w:bCs/>
          <w:color w:val="auto"/>
          <w:sz w:val="24"/>
          <w:highlight w:val="none"/>
          <w:u w:val="none"/>
          <w:lang w:val="en-US" w:eastAsia="zh-CN"/>
        </w:rPr>
        <w:t xml:space="preserve">          元，小写</w:t>
      </w:r>
      <w:r>
        <w:rPr>
          <w:rFonts w:hint="default" w:ascii="Arial" w:hAnsi="Arial" w:eastAsia="仿宋" w:cs="Arial"/>
          <w:b/>
          <w:bCs/>
          <w:color w:val="auto"/>
          <w:sz w:val="24"/>
          <w:highlight w:val="none"/>
          <w:u w:val="none"/>
          <w:lang w:val="en-US" w:eastAsia="zh-CN"/>
        </w:rPr>
        <w:t>¥</w:t>
      </w:r>
      <w:r>
        <w:rPr>
          <w:rFonts w:hint="eastAsia" w:ascii="仿宋" w:hAnsi="仿宋" w:eastAsia="仿宋" w:cs="仿宋"/>
          <w:b/>
          <w:bCs/>
          <w:color w:val="auto"/>
          <w:sz w:val="24"/>
          <w:highlight w:val="none"/>
          <w:u w:val="none"/>
          <w:lang w:val="en-US" w:eastAsia="zh-CN"/>
        </w:rPr>
        <w:t xml:space="preserve">   元。</w:t>
      </w:r>
    </w:p>
    <w:p w14:paraId="17049595">
      <w:pPr>
        <w:tabs>
          <w:tab w:val="left" w:pos="426"/>
        </w:tabs>
        <w:spacing w:line="360" w:lineRule="auto"/>
        <w:ind w:firstLine="480" w:firstLineChars="200"/>
        <w:jc w:val="left"/>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本项目的承包方式为项目总价包干，合同金额包括：以人民币为结算单位，包括服务人员的工资、加班费、节假日补贴及节日慰问金、高温补贴、社会保险或商业保险费用、人员管理所需的管理费、服装费、防护用品、税费、培训费、保洁所需材料或工具费用、垃圾袋、设备（中转站及公厕的设备及设施损坏费用）、车辆汽油费（损耗费）、不可预见费等完成本招标内容所需的一切费用。如果中标并签署合同后，服务期限内出现的任何遗漏或因市场价格上涨，均由乙方负责，甲方都不再增加任何费用。</w:t>
      </w:r>
    </w:p>
    <w:p w14:paraId="63BC09DA">
      <w:pPr>
        <w:tabs>
          <w:tab w:val="left" w:pos="426"/>
        </w:tabs>
        <w:spacing w:line="360" w:lineRule="auto"/>
        <w:ind w:firstLine="482" w:firstLineChars="20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三、合同服务期</w:t>
      </w:r>
    </w:p>
    <w:p w14:paraId="6FAD08CE">
      <w:pPr>
        <w:tabs>
          <w:tab w:val="left" w:pos="426"/>
        </w:tabs>
        <w:spacing w:line="360" w:lineRule="auto"/>
        <w:ind w:firstLine="480" w:firstLineChars="200"/>
        <w:jc w:val="left"/>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本合同自签订之日起生效36个月。</w:t>
      </w:r>
    </w:p>
    <w:p w14:paraId="21F551E2">
      <w:pPr>
        <w:tabs>
          <w:tab w:val="left" w:pos="426"/>
        </w:tabs>
        <w:spacing w:line="360" w:lineRule="auto"/>
        <w:ind w:firstLine="480" w:firstLineChars="200"/>
        <w:jc w:val="left"/>
        <w:rPr>
          <w:rFonts w:hint="default"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具体服务期：自  年  月  日至   年 月   日</w:t>
      </w:r>
    </w:p>
    <w:p w14:paraId="3D7C9E82">
      <w:pPr>
        <w:tabs>
          <w:tab w:val="left" w:pos="426"/>
        </w:tabs>
        <w:spacing w:line="360" w:lineRule="auto"/>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付款方式</w:t>
      </w:r>
    </w:p>
    <w:p w14:paraId="4439F2FA">
      <w:pPr>
        <w:widowControl/>
        <w:snapToGrid w:val="0"/>
        <w:spacing w:line="360" w:lineRule="auto"/>
        <w:ind w:firstLine="480" w:firstLineChars="200"/>
        <w:jc w:val="left"/>
        <w:rPr>
          <w:rFonts w:hint="default"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1、双方每月核定服务费后，每月以支票或银行转账方式支付给中标人。</w:t>
      </w:r>
    </w:p>
    <w:p w14:paraId="3BF95864">
      <w:pPr>
        <w:widowControl/>
        <w:snapToGrid w:val="0"/>
        <w:spacing w:line="360" w:lineRule="auto"/>
        <w:ind w:firstLine="480" w:firstLineChars="200"/>
        <w:jc w:val="left"/>
        <w:rPr>
          <w:rFonts w:hint="default"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2、每月核定服务费方法：按月均合同金额和《月检质量检查验收标准》确定当月的服务费。具体如下：月检得分大于等于85分，按100%支付当月服务费；月检得分低于85分，按90%支付当月服务费，提留10%至年度考核，按全年（12个月）月均得分作为年度综合考核得分，分档次发放提留服务费用，具体如下：</w:t>
      </w:r>
    </w:p>
    <w:p w14:paraId="59A934BB">
      <w:pPr>
        <w:widowControl/>
        <w:snapToGrid w:val="0"/>
        <w:spacing w:line="360" w:lineRule="auto"/>
        <w:ind w:firstLine="480" w:firstLineChars="200"/>
        <w:jc w:val="left"/>
        <w:rPr>
          <w:rFonts w:hint="default"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第一档：大于等于85分，按100%发放提留服务费用；</w:t>
      </w:r>
    </w:p>
    <w:p w14:paraId="4590B294">
      <w:pPr>
        <w:widowControl/>
        <w:snapToGrid w:val="0"/>
        <w:spacing w:line="360" w:lineRule="auto"/>
        <w:ind w:firstLine="480" w:firstLineChars="200"/>
        <w:jc w:val="left"/>
        <w:rPr>
          <w:rFonts w:hint="default"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第二档：75分至 85分，按80%发放提留服务费用；</w:t>
      </w:r>
    </w:p>
    <w:p w14:paraId="307D7F57">
      <w:pPr>
        <w:widowControl/>
        <w:snapToGrid w:val="0"/>
        <w:spacing w:line="360" w:lineRule="auto"/>
        <w:ind w:firstLine="480" w:firstLineChars="200"/>
        <w:jc w:val="left"/>
        <w:rPr>
          <w:rFonts w:hint="default"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第三档：65分至 75分，按50%发放提留服务费用；</w:t>
      </w:r>
    </w:p>
    <w:p w14:paraId="36ADB824">
      <w:pPr>
        <w:widowControl/>
        <w:snapToGrid w:val="0"/>
        <w:spacing w:line="360" w:lineRule="auto"/>
        <w:ind w:firstLine="480" w:firstLineChars="200"/>
        <w:jc w:val="left"/>
        <w:rPr>
          <w:rFonts w:hint="default"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第四档：小于65分，不合格，不发放提留服务费用</w:t>
      </w:r>
      <w:r>
        <w:rPr>
          <w:rFonts w:hint="eastAsia" w:ascii="仿宋" w:hAnsi="仿宋" w:eastAsia="仿宋" w:cs="仿宋"/>
          <w:b w:val="0"/>
          <w:bCs w:val="0"/>
          <w:color w:val="auto"/>
          <w:sz w:val="24"/>
          <w:szCs w:val="24"/>
          <w:highlight w:val="none"/>
          <w:lang w:eastAsia="zh-CN"/>
        </w:rPr>
        <w:t>且甲方有权单方面解除合同</w:t>
      </w:r>
      <w:r>
        <w:rPr>
          <w:rFonts w:hint="default" w:ascii="仿宋" w:hAnsi="仿宋" w:eastAsia="仿宋" w:cs="Times New Roman"/>
          <w:color w:val="auto"/>
          <w:kern w:val="2"/>
          <w:sz w:val="24"/>
          <w:szCs w:val="24"/>
          <w:highlight w:val="none"/>
          <w:lang w:val="en-US" w:eastAsia="zh-CN" w:bidi="ar-SA"/>
        </w:rPr>
        <w:t>。</w:t>
      </w:r>
    </w:p>
    <w:p w14:paraId="1BB92733">
      <w:pPr>
        <w:widowControl/>
        <w:snapToGrid w:val="0"/>
        <w:spacing w:line="360" w:lineRule="auto"/>
        <w:ind w:firstLine="480" w:firstLineChars="200"/>
        <w:jc w:val="left"/>
        <w:rPr>
          <w:rFonts w:hint="default"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3、月服务费的支付时间：当月服务费于次月的30日前支付。</w:t>
      </w:r>
    </w:p>
    <w:p w14:paraId="563C3DFC">
      <w:pPr>
        <w:widowControl/>
        <w:snapToGrid w:val="0"/>
        <w:spacing w:line="360" w:lineRule="auto"/>
        <w:ind w:firstLine="480" w:firstLineChars="200"/>
        <w:jc w:val="left"/>
        <w:rPr>
          <w:rFonts w:hint="eastAsia"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4、</w:t>
      </w:r>
      <w:r>
        <w:rPr>
          <w:rFonts w:hint="eastAsia" w:ascii="仿宋" w:hAnsi="仿宋" w:eastAsia="仿宋" w:cs="Times New Roman"/>
          <w:color w:val="auto"/>
          <w:kern w:val="2"/>
          <w:sz w:val="24"/>
          <w:szCs w:val="24"/>
          <w:highlight w:val="none"/>
          <w:lang w:val="en-US" w:eastAsia="zh-CN" w:bidi="ar-SA"/>
        </w:rPr>
        <w:t>乙方</w:t>
      </w:r>
      <w:r>
        <w:rPr>
          <w:rFonts w:hint="default" w:ascii="仿宋" w:hAnsi="仿宋" w:eastAsia="仿宋" w:cs="Times New Roman"/>
          <w:color w:val="auto"/>
          <w:kern w:val="2"/>
          <w:sz w:val="24"/>
          <w:szCs w:val="24"/>
          <w:highlight w:val="none"/>
          <w:lang w:val="en-US" w:eastAsia="zh-CN" w:bidi="ar-SA"/>
        </w:rPr>
        <w:t>收款时必须向</w:t>
      </w:r>
      <w:r>
        <w:rPr>
          <w:rFonts w:hint="eastAsia" w:ascii="仿宋" w:hAnsi="仿宋" w:eastAsia="仿宋" w:cs="Times New Roman"/>
          <w:color w:val="auto"/>
          <w:kern w:val="2"/>
          <w:sz w:val="24"/>
          <w:szCs w:val="24"/>
          <w:highlight w:val="none"/>
          <w:lang w:val="en-US" w:eastAsia="zh-CN" w:bidi="ar-SA"/>
        </w:rPr>
        <w:t>甲方</w:t>
      </w:r>
      <w:r>
        <w:rPr>
          <w:rFonts w:hint="default" w:ascii="仿宋" w:hAnsi="仿宋" w:eastAsia="仿宋" w:cs="Times New Roman"/>
          <w:color w:val="auto"/>
          <w:kern w:val="2"/>
          <w:sz w:val="24"/>
          <w:szCs w:val="24"/>
          <w:highlight w:val="none"/>
          <w:lang w:val="en-US" w:eastAsia="zh-CN" w:bidi="ar-SA"/>
        </w:rPr>
        <w:t xml:space="preserve">开具所收取费用的依法纳税的全额服务发票。  </w:t>
      </w:r>
    </w:p>
    <w:p w14:paraId="2B04C876">
      <w:pPr>
        <w:tabs>
          <w:tab w:val="left" w:pos="426"/>
        </w:tabs>
        <w:spacing w:line="360" w:lineRule="auto"/>
        <w:ind w:firstLine="482" w:firstLineChars="20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履约保证金</w:t>
      </w:r>
      <w:r>
        <w:rPr>
          <w:rFonts w:hint="eastAsia" w:ascii="仿宋" w:hAnsi="仿宋" w:eastAsia="仿宋" w:cs="仿宋"/>
          <w:b/>
          <w:bCs/>
          <w:color w:val="auto"/>
          <w:sz w:val="24"/>
          <w:szCs w:val="24"/>
          <w:highlight w:val="none"/>
          <w:lang w:val="en-US" w:eastAsia="zh-CN"/>
        </w:rPr>
        <w:t>要求</w:t>
      </w:r>
    </w:p>
    <w:p w14:paraId="14E7FF29">
      <w:pPr>
        <w:pStyle w:val="6"/>
        <w:pageBreakBefore w:val="0"/>
        <w:tabs>
          <w:tab w:val="left" w:pos="7027"/>
        </w:tabs>
        <w:kinsoku/>
        <w:overflowPunct/>
        <w:topLinePunct w:val="0"/>
        <w:bidi w:val="0"/>
        <w:adjustRightInd/>
        <w:snapToGrid/>
        <w:spacing w:line="360" w:lineRule="auto"/>
        <w:ind w:left="0" w:leftChars="0"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1、签订合同后10个工作日内，</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须向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支付首年服务费5%作为履约保证金。</w:t>
      </w:r>
      <w:r>
        <w:rPr>
          <w:rFonts w:hint="eastAsia" w:ascii="仿宋" w:hAnsi="仿宋" w:eastAsia="仿宋" w:cs="仿宋"/>
          <w:color w:val="auto"/>
          <w:sz w:val="24"/>
          <w:szCs w:val="24"/>
          <w:highlight w:val="none"/>
          <w:lang w:eastAsia="zh-CN"/>
        </w:rPr>
        <w:t>具体金额：大写人民币          元，小写¥   元。</w:t>
      </w:r>
    </w:p>
    <w:p w14:paraId="5F9CF139">
      <w:pPr>
        <w:pStyle w:val="6"/>
        <w:pageBreakBefore w:val="0"/>
        <w:tabs>
          <w:tab w:val="left" w:pos="7027"/>
        </w:tabs>
        <w:kinsoku/>
        <w:overflowPunct/>
        <w:topLinePunct w:val="0"/>
        <w:bidi w:val="0"/>
        <w:adjustRightInd/>
        <w:snapToGrid/>
        <w:spacing w:line="360" w:lineRule="auto"/>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2、交纳方式：</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自主选择以支票、汇票、本票、保函等非现金形式提交履约保证金。</w:t>
      </w:r>
    </w:p>
    <w:p w14:paraId="32016B8D">
      <w:pPr>
        <w:pStyle w:val="6"/>
        <w:pageBreakBefore w:val="0"/>
        <w:tabs>
          <w:tab w:val="left" w:pos="7027"/>
        </w:tabs>
        <w:kinsoku/>
        <w:overflowPunct/>
        <w:topLinePunct w:val="0"/>
        <w:bidi w:val="0"/>
        <w:adjustRightInd/>
        <w:snapToGrid/>
        <w:spacing w:line="360" w:lineRule="auto"/>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3、若</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不按要求缴纳履约保证金的，将视作</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违约，</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 xml:space="preserve">有权解除合同。 </w:t>
      </w:r>
    </w:p>
    <w:p w14:paraId="61A7871E">
      <w:pPr>
        <w:pStyle w:val="6"/>
        <w:pageBreakBefore w:val="0"/>
        <w:tabs>
          <w:tab w:val="left" w:pos="7027"/>
        </w:tabs>
        <w:kinsoku/>
        <w:overflowPunct/>
        <w:topLinePunct w:val="0"/>
        <w:bidi w:val="0"/>
        <w:adjustRightInd/>
        <w:snapToGrid/>
        <w:spacing w:line="360" w:lineRule="auto"/>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4、采用保函形式提交履约保证金的，须为见索即付保函，保函的有效期应当覆盖合同期，履约保函的格式须经</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确认后方可开具，当项目实施过程中保函剩余有效期不足60日时，</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应当适当延长保函有效期或重新提交履约保证金。</w:t>
      </w:r>
    </w:p>
    <w:p w14:paraId="76795E25">
      <w:pPr>
        <w:pStyle w:val="6"/>
        <w:pageBreakBefore w:val="0"/>
        <w:tabs>
          <w:tab w:val="left" w:pos="7027"/>
        </w:tabs>
        <w:kinsoku/>
        <w:overflowPunct/>
        <w:topLinePunct w:val="0"/>
        <w:bidi w:val="0"/>
        <w:adjustRightInd/>
        <w:snapToGrid/>
        <w:spacing w:line="360" w:lineRule="auto"/>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5、退还规定：合同期满，</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全部合同义务履行完毕，无违约责任或违约责任已处理完成，</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在本条款（1）和（2）条件达成之日起15日内以非现金形式一次性无息退还履约保证金（如发生违约情形，则为扣除违约金后的金额）给</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在规定时间内向支付部门提出退还申请手续即视为</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已经按期退还。以保函形式递交履约保证金的，该保函在上述时间之后自动失效，视为已退还。）</w:t>
      </w:r>
    </w:p>
    <w:p w14:paraId="1262FF70">
      <w:pPr>
        <w:pStyle w:val="6"/>
        <w:pageBreakBefore w:val="0"/>
        <w:tabs>
          <w:tab w:val="left" w:pos="7027"/>
        </w:tabs>
        <w:kinsoku/>
        <w:overflowPunct/>
        <w:topLinePunct w:val="0"/>
        <w:bidi w:val="0"/>
        <w:adjustRightInd/>
        <w:snapToGrid/>
        <w:spacing w:line="360" w:lineRule="auto"/>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（1）已妥善处理本项目的债权债务（工资、材料费、社保及其他欠款）；</w:t>
      </w:r>
    </w:p>
    <w:p w14:paraId="092195BA">
      <w:pPr>
        <w:pStyle w:val="6"/>
        <w:pageBreakBefore w:val="0"/>
        <w:tabs>
          <w:tab w:val="left" w:pos="7027"/>
        </w:tabs>
        <w:kinsoku/>
        <w:overflowPunct/>
        <w:topLinePunct w:val="0"/>
        <w:bidi w:val="0"/>
        <w:adjustRightInd/>
        <w:snapToGrid/>
        <w:spacing w:line="360" w:lineRule="auto"/>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（2）须做好交接期各项工作，相关管理工作顺利交接。</w:t>
      </w:r>
    </w:p>
    <w:p w14:paraId="661C7673">
      <w:pPr>
        <w:tabs>
          <w:tab w:val="left" w:pos="426"/>
        </w:tabs>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lang w:eastAsia="zh-CN"/>
        </w:rPr>
        <w:t>采购项目</w:t>
      </w:r>
      <w:r>
        <w:rPr>
          <w:rFonts w:hint="eastAsia" w:ascii="仿宋" w:hAnsi="仿宋" w:eastAsia="仿宋" w:cs="仿宋"/>
          <w:b/>
          <w:bCs/>
          <w:color w:val="auto"/>
          <w:sz w:val="24"/>
          <w:szCs w:val="24"/>
          <w:highlight w:val="none"/>
        </w:rPr>
        <w:t>服务要求</w:t>
      </w:r>
    </w:p>
    <w:p w14:paraId="396DA826">
      <w:pPr>
        <w:tabs>
          <w:tab w:val="left" w:pos="426"/>
        </w:tabs>
        <w:spacing w:line="360" w:lineRule="auto"/>
        <w:ind w:firstLine="482" w:firstLineChars="200"/>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（以乙方投标文件响应内容为准）</w:t>
      </w:r>
    </w:p>
    <w:p w14:paraId="00464AC4">
      <w:pPr>
        <w:tabs>
          <w:tab w:val="left" w:pos="426"/>
        </w:tabs>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七、违约责任</w:t>
      </w:r>
    </w:p>
    <w:p w14:paraId="4C1B9116">
      <w:pPr>
        <w:widowControl/>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前文有关提到</w:t>
      </w:r>
      <w:r>
        <w:rPr>
          <w:rFonts w:hint="eastAsia" w:ascii="仿宋" w:hAnsi="仿宋" w:eastAsia="仿宋" w:cs="仿宋"/>
          <w:color w:val="auto"/>
          <w:sz w:val="24"/>
          <w:highlight w:val="none"/>
        </w:rPr>
        <w:t>乙方提供的服务不符合</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或本合同规定的，</w:t>
      </w:r>
      <w:r>
        <w:rPr>
          <w:rFonts w:hint="eastAsia" w:ascii="仿宋" w:hAnsi="仿宋" w:eastAsia="仿宋" w:cs="仿宋"/>
          <w:color w:val="auto"/>
          <w:sz w:val="24"/>
          <w:highlight w:val="none"/>
          <w:lang w:val="en-US" w:eastAsia="zh-CN"/>
        </w:rPr>
        <w:t>按前文有关条款执行</w:t>
      </w:r>
      <w:r>
        <w:rPr>
          <w:rFonts w:hint="eastAsia" w:ascii="仿宋" w:hAnsi="仿宋" w:eastAsia="仿宋" w:cs="仿宋"/>
          <w:color w:val="auto"/>
          <w:sz w:val="24"/>
          <w:highlight w:val="none"/>
        </w:rPr>
        <w:t>。</w:t>
      </w:r>
    </w:p>
    <w:p w14:paraId="05012B0D">
      <w:pPr>
        <w:widowControl/>
        <w:snapToGrid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乙方未按要求履行合同义务时，须从违约之日起每日按</w:t>
      </w:r>
      <w:r>
        <w:rPr>
          <w:rFonts w:hint="eastAsia" w:ascii="仿宋" w:hAnsi="仿宋" w:eastAsia="仿宋" w:cs="仿宋"/>
          <w:color w:val="auto"/>
          <w:sz w:val="24"/>
          <w:highlight w:val="none"/>
          <w:u w:val="none"/>
          <w:lang w:eastAsia="zh-CN"/>
        </w:rPr>
        <w:t>合同金额</w:t>
      </w:r>
      <w:r>
        <w:rPr>
          <w:rFonts w:hint="eastAsia" w:ascii="仿宋" w:hAnsi="仿宋" w:eastAsia="仿宋" w:cs="仿宋"/>
          <w:color w:val="auto"/>
          <w:sz w:val="24"/>
          <w:highlight w:val="none"/>
        </w:rPr>
        <w:t>的2%向甲方支付违约金；逾期15日以上时，甲方有权终止合同，没收履约保证金，由此造成甲方的经济损失由乙方承担。</w:t>
      </w:r>
    </w:p>
    <w:p w14:paraId="7A2BB60C">
      <w:pPr>
        <w:widowControl/>
        <w:snapToGrid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3、甲方无故拖付款时，甲方须向乙方支付滞纳金，标准为每日按逾期应付款总额的2%。</w:t>
      </w:r>
    </w:p>
    <w:p w14:paraId="3B0630D4">
      <w:pPr>
        <w:widowControl/>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、如发生解除合同的情况，从解除合同至甲方确定接替的服务机构正式履行合同前，乙方仍要按本合同约定履行服务内容。否则，乙方需承担由造成的一切经济损失。</w:t>
      </w:r>
    </w:p>
    <w:p w14:paraId="4C7904A3">
      <w:pPr>
        <w:widowControl/>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、乙方聘用人员须符合佛山市南海区用工标准要求。由于用工原因不符合佛山市南海区用工标准要求，乙方应承担一切责任及后果。</w:t>
      </w:r>
    </w:p>
    <w:p w14:paraId="46133952">
      <w:pPr>
        <w:widowControl/>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、乙方在服务期内对由于服务人员的责任造成人身伤亡和财产损失的承担赔偿责任。服务人员在工作范围内发生违法、违规行为的，乙方</w:t>
      </w:r>
      <w:r>
        <w:rPr>
          <w:rFonts w:hint="eastAsia" w:ascii="仿宋" w:hAnsi="仿宋" w:eastAsia="仿宋" w:cs="仿宋"/>
          <w:color w:val="auto"/>
          <w:sz w:val="24"/>
          <w:highlight w:val="none"/>
          <w:lang w:eastAsia="zh-CN"/>
        </w:rPr>
        <w:t>应对所造成一切后果及损失承担责任并负责赔偿</w:t>
      </w:r>
      <w:r>
        <w:rPr>
          <w:rFonts w:hint="eastAsia" w:ascii="仿宋" w:hAnsi="仿宋" w:eastAsia="仿宋" w:cs="仿宋"/>
          <w:color w:val="auto"/>
          <w:sz w:val="24"/>
          <w:highlight w:val="none"/>
        </w:rPr>
        <w:t>。</w:t>
      </w:r>
    </w:p>
    <w:p w14:paraId="49DBC97C">
      <w:pPr>
        <w:widowControl/>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、乙方在服务期内应保证服务人员满足甲方需求。如乙方在服务人员配置、教育管理、质量控制等各个方面不能满足</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合同书</w:t>
      </w:r>
      <w:r>
        <w:rPr>
          <w:rFonts w:hint="eastAsia" w:ascii="仿宋" w:hAnsi="仿宋" w:eastAsia="仿宋" w:cs="仿宋"/>
          <w:color w:val="auto"/>
          <w:sz w:val="24"/>
          <w:highlight w:val="none"/>
        </w:rPr>
        <w:t>的相关要求或没有实现</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中的相关承诺，甲方有权解除合同，并保留追究乙方法律责任的权利。</w:t>
      </w:r>
    </w:p>
    <w:p w14:paraId="4F35C486">
      <w:pPr>
        <w:widowControl/>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、乙方不得以任何方式转包、分包或允许他人挂靠本项目。如发现乙方以转包、分包或允许他人挂靠的方式谋取中标本项目，甲方有权解除合同，要求乙方赔偿由此给甲方造成的损失。</w:t>
      </w:r>
    </w:p>
    <w:p w14:paraId="36F19598">
      <w:pPr>
        <w:widowControl/>
        <w:snapToGrid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若出现解除合同的情况，甲方将没收乙方交纳的履约保证金，由此造成的一切后果及经济损失由乙方负责。</w:t>
      </w:r>
    </w:p>
    <w:p w14:paraId="18717A5D">
      <w:pPr>
        <w:widowControl/>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其它违约责任按《中华人民共和国民法典》处理。</w:t>
      </w:r>
    </w:p>
    <w:p w14:paraId="22EADCD3">
      <w:pPr>
        <w:tabs>
          <w:tab w:val="left" w:pos="426"/>
        </w:tabs>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、提出异议的时间和方法</w:t>
      </w:r>
    </w:p>
    <w:p w14:paraId="189D801F">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1、乙方在接到甲方书面异议后，应在3天内负责处理并函复甲方处理情况，否则，即视为默认甲方提出的异议和处理意见。</w:t>
      </w:r>
    </w:p>
    <w:p w14:paraId="55A763AB">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乙方利用专业技术和行业信息优势之便，以不道德的手段，故意隐瞒和掩盖自身缔约过失，违背响应承诺和未尽义务，损害了甲方的合法权益，甲方在任何时候均可追究乙方的违约责任并索取赔偿，且不受验收程序、质量保证期和合同时效的限制。</w:t>
      </w:r>
    </w:p>
    <w:p w14:paraId="044956DC">
      <w:pPr>
        <w:tabs>
          <w:tab w:val="left" w:pos="426"/>
        </w:tabs>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九</w:t>
      </w:r>
      <w:r>
        <w:rPr>
          <w:rFonts w:hint="eastAsia" w:ascii="仿宋" w:hAnsi="仿宋" w:eastAsia="仿宋" w:cs="仿宋"/>
          <w:b/>
          <w:bCs/>
          <w:color w:val="auto"/>
          <w:sz w:val="24"/>
          <w:highlight w:val="none"/>
        </w:rPr>
        <w:t>、争议的解决</w:t>
      </w:r>
    </w:p>
    <w:p w14:paraId="000F2260">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履行过程中发生的任何争议，如双方未能通过友好协商解决，应向甲方所在管辖地的人民法院提起诉讼。违约方须承担守约方由此产生的诉讼费、律师费等合理费用。对所交付标的物质量有争议的，统一由佛山市辖属的专业检测机构进行终局鉴定，鉴定结果符合质量技术标准时，鉴定费由甲方承担；否则鉴定费由乙方承担。</w:t>
      </w:r>
    </w:p>
    <w:p w14:paraId="07A9EE11">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2、法院审理期间，除提交法院审理的事项外，其他无争议的事项和条款仍应继续履行。</w:t>
      </w:r>
    </w:p>
    <w:p w14:paraId="54C92FAA">
      <w:pPr>
        <w:tabs>
          <w:tab w:val="left" w:pos="426"/>
        </w:tabs>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十、不可抗力</w:t>
      </w:r>
    </w:p>
    <w:p w14:paraId="0024577F">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1、本合同下的不可抗力是指：战争、类似战争行为、敌对行为、武装冲突、恐怖活动、谋反、政变、罢工、暴动、民众骚乱、政府命令、水灾、冰雹、地震、海啸、台风、疫情及其他经双方一致同意的事件。</w:t>
      </w:r>
    </w:p>
    <w:p w14:paraId="585501AD">
      <w:pPr>
        <w:pStyle w:val="12"/>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2A3B1737">
      <w:pPr>
        <w:tabs>
          <w:tab w:val="left" w:pos="426"/>
        </w:tabs>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十</w:t>
      </w:r>
      <w:r>
        <w:rPr>
          <w:rFonts w:hint="eastAsia" w:ascii="仿宋" w:hAnsi="仿宋" w:eastAsia="仿宋" w:cs="仿宋"/>
          <w:b/>
          <w:bCs/>
          <w:color w:val="auto"/>
          <w:sz w:val="24"/>
          <w:highlight w:val="none"/>
          <w:lang w:eastAsia="zh-CN"/>
        </w:rPr>
        <w:t>一</w:t>
      </w:r>
      <w:r>
        <w:rPr>
          <w:rFonts w:hint="eastAsia" w:ascii="仿宋" w:hAnsi="仿宋" w:eastAsia="仿宋" w:cs="仿宋"/>
          <w:b/>
          <w:bCs/>
          <w:color w:val="auto"/>
          <w:sz w:val="24"/>
          <w:highlight w:val="none"/>
        </w:rPr>
        <w:t>、税费</w:t>
      </w:r>
    </w:p>
    <w:p w14:paraId="7DE489BF">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1、本合同实施过程中所发生的税费及不可预见费均由乙方承担。</w:t>
      </w:r>
    </w:p>
    <w:p w14:paraId="2162BC2D">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2、乙方依照税务规章优先在合同履约地开具发票及纳税。</w:t>
      </w:r>
    </w:p>
    <w:p w14:paraId="220C32CA">
      <w:pPr>
        <w:tabs>
          <w:tab w:val="left" w:pos="426"/>
        </w:tabs>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十</w:t>
      </w:r>
      <w:r>
        <w:rPr>
          <w:rFonts w:hint="eastAsia" w:ascii="仿宋" w:hAnsi="仿宋" w:eastAsia="仿宋" w:cs="仿宋"/>
          <w:b/>
          <w:bCs/>
          <w:color w:val="auto"/>
          <w:sz w:val="24"/>
          <w:highlight w:val="none"/>
          <w:lang w:val="en-US" w:eastAsia="zh-CN"/>
        </w:rPr>
        <w:t>二</w:t>
      </w:r>
      <w:r>
        <w:rPr>
          <w:rFonts w:hint="eastAsia" w:ascii="仿宋" w:hAnsi="仿宋" w:eastAsia="仿宋" w:cs="仿宋"/>
          <w:b/>
          <w:bCs/>
          <w:color w:val="auto"/>
          <w:sz w:val="24"/>
          <w:highlight w:val="none"/>
        </w:rPr>
        <w:t>、合同生效</w:t>
      </w:r>
    </w:p>
    <w:p w14:paraId="1A93409E">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本合同在甲乙双方法定代表人或其授权代表签字并加盖公章后生效。</w:t>
      </w:r>
    </w:p>
    <w:p w14:paraId="05175753">
      <w:pPr>
        <w:tabs>
          <w:tab w:val="left" w:pos="426"/>
        </w:tabs>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十三</w:t>
      </w:r>
      <w:r>
        <w:rPr>
          <w:rFonts w:hint="eastAsia" w:ascii="仿宋" w:hAnsi="仿宋" w:eastAsia="仿宋" w:cs="仿宋"/>
          <w:b/>
          <w:bCs/>
          <w:color w:val="auto"/>
          <w:sz w:val="24"/>
          <w:highlight w:val="none"/>
        </w:rPr>
        <w:t>、其他</w:t>
      </w:r>
    </w:p>
    <w:p w14:paraId="7767655E">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1、所有经一方或双方签署确认的文件（包括会议纪要、补充协议、往来信函）、</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、要约文件和响应承诺文件、合同附件及中标（成交）通知书均为本合同不可分割的有效组成部分，与本合同具有同等的法律效力和履约义务，其缔约生效日期为有效签署或盖章确认之日期。</w:t>
      </w:r>
    </w:p>
    <w:p w14:paraId="4B3A9A33">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2、如一方（包括联系人）地址、电话、传真号码有变更，应在变更后3个工作日内书面通知对方联系人或负责人，否则，因此造成的损失由未履行通知义务方承担相应责任。</w:t>
      </w:r>
    </w:p>
    <w:p w14:paraId="5AC08442">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3、未经甲方书面同意，乙方不得擅自向第三方转让其主体性和关键性合同义务。</w:t>
      </w:r>
    </w:p>
    <w:p w14:paraId="645512B1">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4、本合同一式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份，甲方执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份，乙方执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份，鉴证单位  份。</w:t>
      </w:r>
    </w:p>
    <w:p w14:paraId="5D6A0B47">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5、本合同（含附件）共计</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页A4纸张，缺页之合同为无效合同。</w:t>
      </w:r>
    </w:p>
    <w:p w14:paraId="3BBD259B">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6、本合同签约履约地点：由甲方（甲方）指定地点。</w:t>
      </w:r>
    </w:p>
    <w:p w14:paraId="2D403229">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7、本合同所指“书面通知”包括但不限于短信、电子邮件等数据电文的通知形式，到达时间以民事诉讼法的规定为准，但进行书面通知前后，通知方均有义务电话确认通知事项。</w:t>
      </w:r>
    </w:p>
    <w:p w14:paraId="0780EDA8">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8、双方均已对以上各条款及附件做充分了解，并明确理解由此而产生的相关权责。</w:t>
      </w:r>
    </w:p>
    <w:p w14:paraId="523809C6">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以下为签署页</w:t>
      </w:r>
      <w:r>
        <w:rPr>
          <w:rFonts w:hint="eastAsia" w:ascii="仿宋" w:hAnsi="仿宋" w:eastAsia="仿宋" w:cs="仿宋"/>
          <w:color w:val="auto"/>
          <w:sz w:val="24"/>
          <w:highlight w:val="none"/>
          <w:lang w:eastAsia="zh-CN"/>
        </w:rPr>
        <w:t>）</w:t>
      </w:r>
    </w:p>
    <w:p w14:paraId="1CFF7181">
      <w:pPr>
        <w:rPr>
          <w:rFonts w:hint="eastAsia" w:ascii="仿宋" w:hAnsi="仿宋" w:eastAsia="仿宋" w:cs="仿宋"/>
          <w:color w:val="auto"/>
          <w:sz w:val="24"/>
          <w:highlight w:val="none"/>
        </w:rPr>
      </w:pPr>
    </w:p>
    <w:tbl>
      <w:tblPr>
        <w:tblStyle w:val="23"/>
        <w:tblW w:w="9196" w:type="dxa"/>
        <w:tblInd w:w="0" w:type="dxa"/>
        <w:tblLayout w:type="fixed"/>
        <w:tblCellMar>
          <w:top w:w="0" w:type="dxa"/>
          <w:left w:w="108" w:type="dxa"/>
          <w:bottom w:w="0" w:type="dxa"/>
          <w:right w:w="108" w:type="dxa"/>
        </w:tblCellMar>
      </w:tblPr>
      <w:tblGrid>
        <w:gridCol w:w="4413"/>
        <w:gridCol w:w="4783"/>
      </w:tblGrid>
      <w:tr w14:paraId="2323DAD5">
        <w:tblPrEx>
          <w:tblCellMar>
            <w:top w:w="0" w:type="dxa"/>
            <w:left w:w="108" w:type="dxa"/>
            <w:bottom w:w="0" w:type="dxa"/>
            <w:right w:w="108" w:type="dxa"/>
          </w:tblCellMar>
        </w:tblPrEx>
        <w:tc>
          <w:tcPr>
            <w:tcW w:w="4413" w:type="dxa"/>
            <w:vAlign w:val="top"/>
          </w:tcPr>
          <w:p w14:paraId="1CE900DA">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b/>
                <w:color w:val="auto"/>
                <w:sz w:val="24"/>
                <w:highlight w:val="none"/>
              </w:rPr>
              <w:t>甲方（盖章）：</w:t>
            </w:r>
            <w:r>
              <w:rPr>
                <w:rFonts w:hint="eastAsia" w:ascii="仿宋" w:hAnsi="仿宋" w:eastAsia="仿宋" w:cs="仿宋"/>
                <w:b/>
                <w:color w:val="auto"/>
                <w:sz w:val="24"/>
                <w:highlight w:val="none"/>
                <w:lang w:eastAsia="zh-CN"/>
              </w:rPr>
              <w:t>佛山市南海区桂城街叠北社区居民委员会</w:t>
            </w:r>
          </w:p>
          <w:p w14:paraId="379764C2">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法定代表人或其授权代表：</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4C7B266E">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p>
          <w:p w14:paraId="17971357">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p>
          <w:p w14:paraId="68D6C8EA">
            <w:pPr>
              <w:pStyle w:val="58"/>
              <w:keepNext w:val="0"/>
              <w:keepLines w:val="0"/>
              <w:suppressLineNumbers w:val="0"/>
              <w:spacing w:before="0" w:beforeAutospacing="0" w:after="0" w:afterAutospacing="0" w:line="360" w:lineRule="auto"/>
              <w:ind w:left="0" w:right="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lang w:val="en-US" w:eastAsia="zh-CN"/>
              </w:rPr>
              <w:t xml:space="preserve">        </w:t>
            </w:r>
          </w:p>
          <w:p w14:paraId="737B0C6D">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传真：/</w:t>
            </w:r>
          </w:p>
          <w:p w14:paraId="1F95F0BE">
            <w:pPr>
              <w:pStyle w:val="58"/>
              <w:keepNext w:val="0"/>
              <w:keepLines w:val="0"/>
              <w:suppressLineNumbers w:val="0"/>
              <w:spacing w:before="0" w:beforeAutospacing="0" w:after="0" w:afterAutospacing="0" w:line="360" w:lineRule="auto"/>
              <w:ind w:left="0" w:right="0"/>
              <w:rPr>
                <w:rFonts w:hint="eastAsia" w:ascii="仿宋" w:hAnsi="仿宋" w:eastAsia="仿宋" w:cs="仿宋"/>
                <w:b/>
                <w:color w:val="auto"/>
                <w:sz w:val="24"/>
                <w:highlight w:val="none"/>
              </w:rPr>
            </w:pPr>
            <w:r>
              <w:rPr>
                <w:rFonts w:hint="eastAsia" w:ascii="仿宋" w:hAnsi="仿宋" w:eastAsia="仿宋" w:cs="仿宋"/>
                <w:color w:val="auto"/>
                <w:sz w:val="24"/>
                <w:highlight w:val="none"/>
              </w:rPr>
              <w:t>日期：2025年  月  日</w:t>
            </w:r>
          </w:p>
        </w:tc>
        <w:tc>
          <w:tcPr>
            <w:tcW w:w="4783" w:type="dxa"/>
            <w:vAlign w:val="top"/>
          </w:tcPr>
          <w:p w14:paraId="0F5123EE">
            <w:pPr>
              <w:pStyle w:val="58"/>
              <w:keepNext w:val="0"/>
              <w:keepLines w:val="0"/>
              <w:suppressLineNumbers w:val="0"/>
              <w:spacing w:before="0" w:beforeAutospacing="0" w:after="0" w:afterAutospacing="0" w:line="360" w:lineRule="auto"/>
              <w:ind w:left="0" w:right="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乙方（盖章）：</w:t>
            </w:r>
          </w:p>
          <w:p w14:paraId="1704E797">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p>
          <w:p w14:paraId="3F835385">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p>
          <w:p w14:paraId="5CEE0623">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法定代表人或其授权代表：</w:t>
            </w:r>
            <w:r>
              <w:rPr>
                <w:rFonts w:hint="eastAsia" w:ascii="仿宋" w:hAnsi="仿宋" w:eastAsia="仿宋" w:cs="仿宋"/>
                <w:color w:val="auto"/>
                <w:sz w:val="24"/>
                <w:highlight w:val="none"/>
                <w:u w:val="dotted"/>
              </w:rPr>
              <w:t xml:space="preserve">                           </w:t>
            </w:r>
          </w:p>
          <w:p w14:paraId="25A94B71">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p>
          <w:p w14:paraId="200938C2">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p>
          <w:p w14:paraId="7236C9FA">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p>
          <w:p w14:paraId="299F8336">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p w14:paraId="77B85FC2">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传真：</w:t>
            </w:r>
          </w:p>
          <w:p w14:paraId="69E964EE">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日期：2025年  月  日</w:t>
            </w:r>
          </w:p>
          <w:p w14:paraId="45F57C2A">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开户名称：</w:t>
            </w:r>
          </w:p>
          <w:p w14:paraId="0FAE346A">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银行账号：</w:t>
            </w:r>
          </w:p>
          <w:p w14:paraId="702F333D">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开 户 行：</w:t>
            </w:r>
          </w:p>
        </w:tc>
      </w:tr>
      <w:tr w14:paraId="743F8D49">
        <w:tblPrEx>
          <w:tblCellMar>
            <w:top w:w="0" w:type="dxa"/>
            <w:left w:w="108" w:type="dxa"/>
            <w:bottom w:w="0" w:type="dxa"/>
            <w:right w:w="108" w:type="dxa"/>
          </w:tblCellMar>
        </w:tblPrEx>
        <w:tc>
          <w:tcPr>
            <w:tcW w:w="4413" w:type="dxa"/>
            <w:vAlign w:val="top"/>
          </w:tcPr>
          <w:p w14:paraId="059EEC11">
            <w:pPr>
              <w:pStyle w:val="58"/>
              <w:keepNext w:val="0"/>
              <w:keepLines w:val="0"/>
              <w:suppressLineNumbers w:val="0"/>
              <w:spacing w:before="0" w:beforeAutospacing="0" w:after="0" w:afterAutospacing="0" w:line="360" w:lineRule="auto"/>
              <w:ind w:left="0" w:right="0"/>
              <w:rPr>
                <w:rFonts w:hint="eastAsia" w:ascii="仿宋" w:hAnsi="仿宋" w:eastAsia="仿宋" w:cs="仿宋"/>
                <w:b/>
                <w:color w:val="auto"/>
                <w:sz w:val="24"/>
                <w:highlight w:val="none"/>
              </w:rPr>
            </w:pPr>
          </w:p>
          <w:p w14:paraId="4E334916">
            <w:pPr>
              <w:pStyle w:val="58"/>
              <w:keepNext w:val="0"/>
              <w:keepLines w:val="0"/>
              <w:suppressLineNumbers w:val="0"/>
              <w:spacing w:before="0" w:beforeAutospacing="0" w:after="0" w:afterAutospacing="0" w:line="360" w:lineRule="auto"/>
              <w:ind w:left="0" w:right="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鉴证单位：广东宏正工程咨询有限公司</w:t>
            </w:r>
          </w:p>
          <w:p w14:paraId="7B3271D3">
            <w:pPr>
              <w:pStyle w:val="58"/>
              <w:keepNext w:val="0"/>
              <w:keepLines w:val="0"/>
              <w:suppressLineNumbers w:val="0"/>
              <w:spacing w:before="0" w:beforeAutospacing="0" w:after="0" w:afterAutospacing="0" w:line="360" w:lineRule="auto"/>
              <w:ind w:left="0" w:right="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经办人：</w:t>
            </w:r>
          </w:p>
          <w:p w14:paraId="0475477E">
            <w:pPr>
              <w:pStyle w:val="58"/>
              <w:keepNext w:val="0"/>
              <w:keepLines w:val="0"/>
              <w:suppressLineNumbers w:val="0"/>
              <w:spacing w:before="0" w:beforeAutospacing="0" w:after="0" w:afterAutospacing="0" w:line="360" w:lineRule="auto"/>
              <w:ind w:left="0" w:right="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鉴证意见：合同条款与</w:t>
            </w:r>
            <w:r>
              <w:rPr>
                <w:rFonts w:hint="eastAsia" w:ascii="仿宋" w:hAnsi="仿宋" w:eastAsia="仿宋" w:cs="仿宋"/>
                <w:b/>
                <w:color w:val="auto"/>
                <w:sz w:val="24"/>
                <w:highlight w:val="none"/>
                <w:lang w:eastAsia="zh-CN"/>
              </w:rPr>
              <w:t>采购文件</w:t>
            </w:r>
            <w:r>
              <w:rPr>
                <w:rFonts w:hint="eastAsia" w:ascii="仿宋" w:hAnsi="仿宋" w:eastAsia="仿宋" w:cs="仿宋"/>
                <w:b/>
                <w:color w:val="auto"/>
                <w:sz w:val="24"/>
                <w:highlight w:val="none"/>
              </w:rPr>
              <w:t>一致</w:t>
            </w:r>
          </w:p>
          <w:p w14:paraId="290E595A">
            <w:pPr>
              <w:pStyle w:val="58"/>
              <w:keepNext w:val="0"/>
              <w:keepLines w:val="0"/>
              <w:suppressLineNumbers w:val="0"/>
              <w:spacing w:before="0" w:beforeAutospacing="0" w:after="0" w:afterAutospacing="0" w:line="360" w:lineRule="auto"/>
              <w:ind w:left="0" w:right="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鉴证日期：2025年  月  日</w:t>
            </w:r>
          </w:p>
        </w:tc>
        <w:tc>
          <w:tcPr>
            <w:tcW w:w="4783" w:type="dxa"/>
            <w:vAlign w:val="top"/>
          </w:tcPr>
          <w:p w14:paraId="05DE3CD9">
            <w:pPr>
              <w:pStyle w:val="58"/>
              <w:keepNext w:val="0"/>
              <w:keepLines w:val="0"/>
              <w:suppressLineNumbers w:val="0"/>
              <w:spacing w:before="0" w:beforeAutospacing="0" w:after="0" w:afterAutospacing="0" w:line="360" w:lineRule="auto"/>
              <w:ind w:left="0" w:right="0"/>
              <w:rPr>
                <w:rFonts w:hint="eastAsia" w:ascii="仿宋" w:hAnsi="仿宋" w:eastAsia="仿宋" w:cs="仿宋"/>
                <w:b/>
                <w:color w:val="auto"/>
                <w:sz w:val="24"/>
                <w:highlight w:val="none"/>
              </w:rPr>
            </w:pPr>
          </w:p>
        </w:tc>
      </w:tr>
    </w:tbl>
    <w:p w14:paraId="4F3303D3">
      <w:pPr>
        <w:spacing w:line="360" w:lineRule="auto"/>
        <w:rPr>
          <w:rFonts w:hint="eastAsia" w:ascii="仿宋" w:hAnsi="仿宋" w:eastAsia="仿宋" w:cs="仿宋"/>
          <w:b/>
          <w:bCs/>
          <w:color w:val="auto"/>
          <w:sz w:val="24"/>
          <w:highlight w:val="none"/>
        </w:rPr>
      </w:pPr>
    </w:p>
    <w:p w14:paraId="41241A83">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合同附件</w:t>
      </w:r>
    </w:p>
    <w:p w14:paraId="7A0FA2AA">
      <w:pP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（如有，签订合同时补充）</w:t>
      </w:r>
    </w:p>
    <w:p w14:paraId="726C657D">
      <w:pPr>
        <w:wordWrap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1DDA48A7">
      <w:pPr>
        <w:wordWrap w:val="0"/>
        <w:adjustRightInd w:val="0"/>
        <w:snapToGrid w:val="0"/>
        <w:rPr>
          <w:rFonts w:hint="eastAsia" w:ascii="仿宋" w:hAnsi="仿宋" w:eastAsia="仿宋" w:cs="仿宋"/>
          <w:color w:val="auto"/>
          <w:sz w:val="16"/>
          <w:szCs w:val="20"/>
          <w:highlight w:val="none"/>
        </w:rPr>
      </w:pPr>
    </w:p>
    <w:p w14:paraId="27F52FEB">
      <w:pPr>
        <w:pStyle w:val="59"/>
        <w:keepNext w:val="0"/>
        <w:keepLines w:val="0"/>
        <w:wordWrap w:val="0"/>
        <w:adjustRightInd w:val="0"/>
        <w:snapToGrid w:val="0"/>
        <w:spacing w:line="360" w:lineRule="auto"/>
        <w:jc w:val="both"/>
        <w:outlineLvl w:val="9"/>
        <w:rPr>
          <w:rFonts w:hint="eastAsia" w:ascii="仿宋" w:hAnsi="仿宋" w:eastAsia="仿宋" w:cs="仿宋"/>
          <w:color w:val="auto"/>
          <w:sz w:val="44"/>
          <w:highlight w:val="none"/>
        </w:rPr>
      </w:pPr>
    </w:p>
    <w:p w14:paraId="29671768">
      <w:pPr>
        <w:pStyle w:val="59"/>
        <w:keepNext w:val="0"/>
        <w:keepLines w:val="0"/>
        <w:wordWrap w:val="0"/>
        <w:adjustRightInd w:val="0"/>
        <w:snapToGrid w:val="0"/>
        <w:spacing w:line="360" w:lineRule="auto"/>
        <w:jc w:val="both"/>
        <w:outlineLvl w:val="9"/>
        <w:rPr>
          <w:rFonts w:hint="eastAsia" w:ascii="仿宋" w:hAnsi="仿宋" w:eastAsia="仿宋" w:cs="仿宋"/>
          <w:color w:val="auto"/>
          <w:sz w:val="44"/>
          <w:highlight w:val="none"/>
        </w:rPr>
      </w:pPr>
    </w:p>
    <w:p w14:paraId="170FA53E">
      <w:pPr>
        <w:pStyle w:val="59"/>
        <w:keepNext w:val="0"/>
        <w:keepLines w:val="0"/>
        <w:wordWrap w:val="0"/>
        <w:adjustRightInd w:val="0"/>
        <w:snapToGrid w:val="0"/>
        <w:spacing w:line="360" w:lineRule="auto"/>
        <w:jc w:val="both"/>
        <w:outlineLvl w:val="9"/>
        <w:rPr>
          <w:rFonts w:hint="eastAsia" w:ascii="仿宋" w:hAnsi="仿宋" w:eastAsia="仿宋" w:cs="仿宋"/>
          <w:color w:val="auto"/>
          <w:sz w:val="44"/>
          <w:highlight w:val="none"/>
        </w:rPr>
      </w:pPr>
    </w:p>
    <w:p w14:paraId="030170CC">
      <w:pPr>
        <w:pStyle w:val="59"/>
        <w:keepNext w:val="0"/>
        <w:keepLines w:val="0"/>
        <w:wordWrap w:val="0"/>
        <w:adjustRightInd w:val="0"/>
        <w:snapToGrid w:val="0"/>
        <w:spacing w:line="360" w:lineRule="auto"/>
        <w:jc w:val="both"/>
        <w:outlineLvl w:val="9"/>
        <w:rPr>
          <w:rFonts w:hint="eastAsia" w:ascii="仿宋" w:hAnsi="仿宋" w:eastAsia="仿宋" w:cs="仿宋"/>
          <w:color w:val="auto"/>
          <w:sz w:val="44"/>
          <w:highlight w:val="none"/>
        </w:rPr>
      </w:pPr>
    </w:p>
    <w:p w14:paraId="7382CC4D">
      <w:pPr>
        <w:pStyle w:val="2"/>
        <w:keepNext w:val="0"/>
        <w:keepLines w:val="0"/>
        <w:wordWrap w:val="0"/>
        <w:adjustRightInd w:val="0"/>
        <w:snapToGrid w:val="0"/>
        <w:spacing w:line="360" w:lineRule="auto"/>
        <w:rPr>
          <w:rFonts w:hint="eastAsia" w:ascii="仿宋" w:hAnsi="仿宋" w:eastAsia="仿宋" w:cs="仿宋"/>
          <w:color w:val="auto"/>
          <w:sz w:val="44"/>
          <w:highlight w:val="none"/>
        </w:rPr>
        <w:sectPr>
          <w:footerReference r:id="rId16" w:type="first"/>
          <w:footerReference r:id="rId15" w:type="default"/>
          <w:pgSz w:w="11906" w:h="16838"/>
          <w:pgMar w:top="1440" w:right="1468" w:bottom="1440" w:left="1440" w:header="850" w:footer="992" w:gutter="0"/>
          <w:pgNumType w:fmt="decimal"/>
          <w:cols w:space="720" w:num="1"/>
          <w:titlePg/>
          <w:docGrid w:linePitch="462" w:charSpace="0"/>
        </w:sectPr>
      </w:pPr>
      <w:bookmarkStart w:id="55" w:name="_Toc26524"/>
      <w:bookmarkStart w:id="56" w:name="_Toc544"/>
      <w:bookmarkStart w:id="57" w:name="_Toc10656"/>
      <w:bookmarkStart w:id="58" w:name="_Toc13293"/>
      <w:bookmarkStart w:id="59" w:name="_Toc7739"/>
      <w:bookmarkStart w:id="60" w:name="_Toc28668"/>
      <w:bookmarkStart w:id="61" w:name="_Toc11408"/>
      <w:bookmarkStart w:id="62" w:name="_Toc11463"/>
      <w:bookmarkStart w:id="63" w:name="_Toc6156"/>
      <w:bookmarkStart w:id="64" w:name="_Toc2054"/>
      <w:bookmarkStart w:id="65" w:name="_Toc26164"/>
      <w:bookmarkStart w:id="66" w:name="_Toc6343"/>
      <w:bookmarkStart w:id="67" w:name="_Toc19330"/>
      <w:bookmarkStart w:id="68" w:name="_Toc20423"/>
      <w:bookmarkStart w:id="69" w:name="_Toc29605"/>
      <w:r>
        <w:rPr>
          <w:rFonts w:hint="eastAsia" w:ascii="仿宋" w:hAnsi="仿宋" w:eastAsia="仿宋" w:cs="仿宋"/>
          <w:color w:val="auto"/>
          <w:sz w:val="44"/>
          <w:highlight w:val="none"/>
        </w:rPr>
        <w:t>第五部分　</w:t>
      </w:r>
      <w:r>
        <w:rPr>
          <w:rFonts w:hint="eastAsia" w:ascii="仿宋" w:hAnsi="仿宋" w:eastAsia="仿宋" w:cs="仿宋"/>
          <w:color w:val="auto"/>
          <w:sz w:val="44"/>
          <w:highlight w:val="none"/>
          <w:lang w:eastAsia="zh-CN"/>
        </w:rPr>
        <w:t>投标文件</w:t>
      </w:r>
      <w:r>
        <w:rPr>
          <w:rFonts w:hint="eastAsia" w:ascii="仿宋" w:hAnsi="仿宋" w:eastAsia="仿宋" w:cs="仿宋"/>
          <w:color w:val="auto"/>
          <w:sz w:val="44"/>
          <w:highlight w:val="none"/>
        </w:rPr>
        <w:t>格式</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54CDD667">
      <w:pPr>
        <w:pStyle w:val="12"/>
        <w:tabs>
          <w:tab w:val="left" w:pos="1260"/>
        </w:tabs>
        <w:wordWrap w:val="0"/>
        <w:adjustRightInd w:val="0"/>
        <w:snapToGrid w:val="0"/>
        <w:spacing w:line="360" w:lineRule="auto"/>
        <w:rPr>
          <w:rFonts w:hint="eastAsia" w:ascii="仿宋" w:hAnsi="仿宋" w:eastAsia="仿宋" w:cs="仿宋"/>
          <w:b/>
          <w:color w:val="auto"/>
          <w:spacing w:val="100"/>
          <w:w w:val="110"/>
          <w:kern w:val="0"/>
          <w:sz w:val="44"/>
          <w:szCs w:val="44"/>
          <w:highlight w:val="none"/>
        </w:rPr>
      </w:pPr>
    </w:p>
    <w:p w14:paraId="4CD99FBA">
      <w:pPr>
        <w:pStyle w:val="12"/>
        <w:tabs>
          <w:tab w:val="left" w:pos="1260"/>
        </w:tabs>
        <w:wordWrap w:val="0"/>
        <w:adjustRightInd w:val="0"/>
        <w:snapToGrid w:val="0"/>
        <w:spacing w:line="360" w:lineRule="auto"/>
        <w:jc w:val="center"/>
        <w:outlineLvl w:val="0"/>
        <w:rPr>
          <w:rFonts w:hint="eastAsia" w:ascii="仿宋" w:hAnsi="仿宋" w:eastAsia="仿宋" w:cs="仿宋"/>
          <w:b/>
          <w:color w:val="auto"/>
          <w:spacing w:val="100"/>
          <w:w w:val="110"/>
          <w:kern w:val="0"/>
          <w:sz w:val="44"/>
          <w:szCs w:val="44"/>
          <w:highlight w:val="none"/>
          <w:lang w:eastAsia="zh-CN"/>
        </w:rPr>
      </w:pPr>
      <w:r>
        <w:rPr>
          <w:rFonts w:hint="eastAsia" w:ascii="仿宋" w:hAnsi="仿宋" w:eastAsia="仿宋" w:cs="仿宋"/>
          <w:b/>
          <w:color w:val="auto"/>
          <w:spacing w:val="100"/>
          <w:w w:val="110"/>
          <w:kern w:val="0"/>
          <w:sz w:val="44"/>
          <w:szCs w:val="44"/>
          <w:highlight w:val="none"/>
          <w:lang w:eastAsia="zh-CN"/>
        </w:rPr>
        <w:t>投标文件</w:t>
      </w:r>
    </w:p>
    <w:p w14:paraId="349E33EF">
      <w:pPr>
        <w:wordWrap w:val="0"/>
        <w:adjustRightInd w:val="0"/>
        <w:snapToGrid w:val="0"/>
        <w:jc w:val="center"/>
        <w:rPr>
          <w:rFonts w:hint="eastAsia" w:ascii="仿宋" w:hAnsi="仿宋" w:eastAsia="仿宋" w:cs="仿宋"/>
          <w:color w:val="auto"/>
          <w:highlight w:val="none"/>
        </w:rPr>
      </w:pPr>
    </w:p>
    <w:p w14:paraId="0FAE6EB3">
      <w:pPr>
        <w:pStyle w:val="12"/>
        <w:wordWrap w:val="0"/>
        <w:adjustRightInd w:val="0"/>
        <w:snapToGrid w:val="0"/>
        <w:spacing w:line="360" w:lineRule="auto"/>
        <w:jc w:val="center"/>
        <w:outlineLvl w:val="0"/>
        <w:rPr>
          <w:rFonts w:hint="eastAsia" w:ascii="仿宋" w:hAnsi="仿宋" w:eastAsia="仿宋" w:cs="仿宋"/>
          <w:b/>
          <w:color w:val="auto"/>
          <w:sz w:val="44"/>
          <w:szCs w:val="44"/>
          <w:highlight w:val="none"/>
        </w:rPr>
      </w:pPr>
      <w:bookmarkStart w:id="70" w:name="_Toc31081"/>
      <w:bookmarkStart w:id="71" w:name="_Toc2140"/>
      <w:bookmarkStart w:id="72" w:name="_Toc31489"/>
      <w:r>
        <w:rPr>
          <w:rFonts w:hint="eastAsia" w:ascii="仿宋" w:hAnsi="仿宋" w:eastAsia="仿宋" w:cs="仿宋"/>
          <w:b/>
          <w:color w:val="auto"/>
          <w:sz w:val="44"/>
          <w:szCs w:val="44"/>
          <w:highlight w:val="none"/>
        </w:rPr>
        <w:t>（正本/副本）</w:t>
      </w:r>
      <w:bookmarkEnd w:id="70"/>
      <w:bookmarkEnd w:id="71"/>
      <w:bookmarkEnd w:id="72"/>
    </w:p>
    <w:p w14:paraId="72ED661B">
      <w:pPr>
        <w:pStyle w:val="12"/>
        <w:wordWrap w:val="0"/>
        <w:adjustRightInd w:val="0"/>
        <w:snapToGrid w:val="0"/>
        <w:spacing w:line="360" w:lineRule="auto"/>
        <w:rPr>
          <w:rFonts w:hint="eastAsia" w:ascii="仿宋" w:hAnsi="仿宋" w:eastAsia="仿宋" w:cs="仿宋"/>
          <w:b/>
          <w:color w:val="auto"/>
          <w:sz w:val="28"/>
          <w:szCs w:val="28"/>
          <w:highlight w:val="none"/>
        </w:rPr>
      </w:pPr>
    </w:p>
    <w:p w14:paraId="5C2C8D03">
      <w:pPr>
        <w:pStyle w:val="12"/>
        <w:wordWrap w:val="0"/>
        <w:adjustRightInd w:val="0"/>
        <w:snapToGrid w:val="0"/>
        <w:spacing w:line="360" w:lineRule="auto"/>
        <w:rPr>
          <w:rFonts w:hint="eastAsia" w:ascii="仿宋" w:hAnsi="仿宋" w:eastAsia="仿宋" w:cs="仿宋"/>
          <w:b/>
          <w:color w:val="auto"/>
          <w:sz w:val="28"/>
          <w:szCs w:val="28"/>
          <w:highlight w:val="none"/>
        </w:rPr>
      </w:pPr>
    </w:p>
    <w:p w14:paraId="0E6D71E4">
      <w:pPr>
        <w:pStyle w:val="12"/>
        <w:wordWrap w:val="0"/>
        <w:adjustRightInd w:val="0"/>
        <w:snapToGrid w:val="0"/>
        <w:spacing w:line="360" w:lineRule="auto"/>
        <w:rPr>
          <w:rFonts w:hint="eastAsia" w:ascii="仿宋" w:hAnsi="仿宋" w:eastAsia="仿宋" w:cs="仿宋"/>
          <w:b/>
          <w:color w:val="auto"/>
          <w:sz w:val="28"/>
          <w:szCs w:val="28"/>
          <w:highlight w:val="none"/>
        </w:rPr>
      </w:pPr>
    </w:p>
    <w:p w14:paraId="2524966A">
      <w:pPr>
        <w:pStyle w:val="12"/>
        <w:wordWrap w:val="0"/>
        <w:adjustRightInd w:val="0"/>
        <w:snapToGrid w:val="0"/>
        <w:spacing w:line="360" w:lineRule="auto"/>
        <w:rPr>
          <w:rFonts w:hint="eastAsia" w:ascii="仿宋" w:hAnsi="仿宋" w:eastAsia="仿宋" w:cs="仿宋"/>
          <w:b/>
          <w:color w:val="auto"/>
          <w:sz w:val="28"/>
          <w:szCs w:val="28"/>
          <w:highlight w:val="none"/>
        </w:rPr>
      </w:pPr>
    </w:p>
    <w:p w14:paraId="4C083515">
      <w:pPr>
        <w:pStyle w:val="12"/>
        <w:wordWrap w:val="0"/>
        <w:adjustRightInd w:val="0"/>
        <w:snapToGrid w:val="0"/>
        <w:spacing w:line="360" w:lineRule="auto"/>
        <w:ind w:firstLine="1265" w:firstLineChars="450"/>
        <w:rPr>
          <w:rFonts w:hint="eastAsia" w:ascii="仿宋" w:hAnsi="仿宋" w:eastAsia="仿宋" w:cs="仿宋"/>
          <w:b/>
          <w:color w:val="auto"/>
          <w:sz w:val="28"/>
          <w:szCs w:val="28"/>
          <w:highlight w:val="none"/>
          <w:u w:val="single"/>
          <w:lang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eastAsia="zh-CN"/>
        </w:rPr>
        <w:t xml:space="preserve">JG       </w:t>
      </w:r>
    </w:p>
    <w:p w14:paraId="5C7C5C72">
      <w:pPr>
        <w:pStyle w:val="12"/>
        <w:wordWrap w:val="0"/>
        <w:adjustRightInd w:val="0"/>
        <w:snapToGrid w:val="0"/>
        <w:spacing w:line="360" w:lineRule="auto"/>
        <w:ind w:firstLine="1265" w:firstLineChars="450"/>
        <w:rPr>
          <w:rFonts w:hint="eastAsia" w:ascii="仿宋" w:hAnsi="仿宋" w:eastAsia="仿宋" w:cs="仿宋"/>
          <w:b/>
          <w:color w:val="auto"/>
          <w:sz w:val="28"/>
          <w:szCs w:val="28"/>
          <w:highlight w:val="none"/>
        </w:rPr>
      </w:pPr>
    </w:p>
    <w:p w14:paraId="619D7F08">
      <w:pPr>
        <w:pStyle w:val="12"/>
        <w:wordWrap w:val="0"/>
        <w:adjustRightInd w:val="0"/>
        <w:snapToGrid w:val="0"/>
        <w:spacing w:line="360" w:lineRule="auto"/>
        <w:ind w:left="0" w:leftChars="0" w:firstLine="1265" w:firstLineChars="45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项目名称：</w:t>
      </w:r>
      <w:r>
        <w:rPr>
          <w:rFonts w:hint="eastAsia" w:ascii="仿宋" w:hAnsi="仿宋" w:eastAsia="仿宋" w:cs="仿宋"/>
          <w:b/>
          <w:color w:val="auto"/>
          <w:sz w:val="28"/>
          <w:szCs w:val="28"/>
          <w:highlight w:val="none"/>
          <w:lang w:eastAsia="zh-CN"/>
        </w:rPr>
        <w:t>桂城街道叠北社区市政管理一体化服务</w:t>
      </w:r>
    </w:p>
    <w:p w14:paraId="64008D88">
      <w:pPr>
        <w:pStyle w:val="12"/>
        <w:wordWrap w:val="0"/>
        <w:adjustRightInd w:val="0"/>
        <w:snapToGrid w:val="0"/>
        <w:spacing w:line="360" w:lineRule="auto"/>
        <w:ind w:firstLine="843" w:firstLineChars="300"/>
        <w:rPr>
          <w:rFonts w:hint="eastAsia" w:ascii="仿宋" w:hAnsi="仿宋" w:eastAsia="仿宋" w:cs="仿宋"/>
          <w:b/>
          <w:color w:val="auto"/>
          <w:sz w:val="28"/>
          <w:szCs w:val="28"/>
          <w:highlight w:val="none"/>
        </w:rPr>
      </w:pPr>
    </w:p>
    <w:p w14:paraId="30066706">
      <w:pPr>
        <w:pStyle w:val="12"/>
        <w:wordWrap w:val="0"/>
        <w:adjustRightInd w:val="0"/>
        <w:snapToGrid w:val="0"/>
        <w:spacing w:line="360" w:lineRule="auto"/>
        <w:ind w:firstLine="843" w:firstLineChars="300"/>
        <w:rPr>
          <w:rFonts w:hint="eastAsia" w:ascii="仿宋" w:hAnsi="仿宋" w:eastAsia="仿宋" w:cs="仿宋"/>
          <w:b/>
          <w:color w:val="auto"/>
          <w:sz w:val="28"/>
          <w:szCs w:val="28"/>
          <w:highlight w:val="none"/>
        </w:rPr>
      </w:pPr>
    </w:p>
    <w:p w14:paraId="62AF3C82">
      <w:pPr>
        <w:pStyle w:val="12"/>
        <w:wordWrap w:val="0"/>
        <w:adjustRightInd w:val="0"/>
        <w:snapToGrid w:val="0"/>
        <w:spacing w:line="360" w:lineRule="auto"/>
        <w:ind w:firstLine="933" w:firstLineChars="332"/>
        <w:rPr>
          <w:rFonts w:hint="eastAsia" w:ascii="仿宋" w:hAnsi="仿宋" w:eastAsia="仿宋" w:cs="仿宋"/>
          <w:b/>
          <w:color w:val="auto"/>
          <w:sz w:val="28"/>
          <w:szCs w:val="28"/>
          <w:highlight w:val="none"/>
        </w:rPr>
      </w:pPr>
    </w:p>
    <w:p w14:paraId="658CA28D">
      <w:pPr>
        <w:pStyle w:val="12"/>
        <w:wordWrap w:val="0"/>
        <w:adjustRightInd w:val="0"/>
        <w:snapToGrid w:val="0"/>
        <w:spacing w:line="360" w:lineRule="auto"/>
        <w:ind w:firstLine="1521" w:firstLineChars="541"/>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lang w:eastAsia="zh-CN"/>
        </w:rPr>
        <w:t>投标人</w:t>
      </w:r>
      <w:r>
        <w:rPr>
          <w:rFonts w:hint="eastAsia" w:ascii="仿宋" w:hAnsi="仿宋" w:eastAsia="仿宋" w:cs="仿宋"/>
          <w:b/>
          <w:color w:val="auto"/>
          <w:sz w:val="28"/>
          <w:szCs w:val="28"/>
          <w:highlight w:val="none"/>
        </w:rPr>
        <w:t>名称：</w:t>
      </w:r>
      <w:r>
        <w:rPr>
          <w:rFonts w:hint="eastAsia" w:ascii="仿宋" w:hAnsi="仿宋" w:eastAsia="仿宋" w:cs="仿宋"/>
          <w:b/>
          <w:color w:val="auto"/>
          <w:sz w:val="28"/>
          <w:szCs w:val="28"/>
          <w:highlight w:val="none"/>
          <w:u w:val="single"/>
        </w:rPr>
        <w:t xml:space="preserve">                </w:t>
      </w:r>
    </w:p>
    <w:p w14:paraId="3981B895">
      <w:pPr>
        <w:wordWrap w:val="0"/>
        <w:autoSpaceDE w:val="0"/>
        <w:autoSpaceDN w:val="0"/>
        <w:adjustRightInd w:val="0"/>
        <w:snapToGrid w:val="0"/>
        <w:spacing w:line="360" w:lineRule="auto"/>
        <w:ind w:firstLine="1521" w:firstLineChars="541"/>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日期：</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日</w:t>
      </w:r>
    </w:p>
    <w:p w14:paraId="702C2720">
      <w:pPr>
        <w:wordWrap w:val="0"/>
        <w:adjustRightInd w:val="0"/>
        <w:snapToGrid w:val="0"/>
        <w:spacing w:line="360" w:lineRule="auto"/>
        <w:ind w:firstLine="570"/>
        <w:rPr>
          <w:rFonts w:hint="eastAsia" w:ascii="仿宋" w:hAnsi="仿宋" w:eastAsia="仿宋" w:cs="仿宋"/>
          <w:color w:val="auto"/>
          <w:sz w:val="28"/>
          <w:szCs w:val="28"/>
          <w:highlight w:val="none"/>
        </w:rPr>
      </w:pPr>
    </w:p>
    <w:p w14:paraId="57DA47A4">
      <w:pPr>
        <w:wordWrap w:val="0"/>
        <w:adjustRightInd w:val="0"/>
        <w:snapToGrid w:val="0"/>
        <w:spacing w:line="360" w:lineRule="auto"/>
        <w:ind w:firstLine="570"/>
        <w:rPr>
          <w:rFonts w:hint="eastAsia" w:ascii="仿宋" w:hAnsi="仿宋" w:eastAsia="仿宋" w:cs="仿宋"/>
          <w:color w:val="auto"/>
          <w:sz w:val="28"/>
          <w:szCs w:val="28"/>
          <w:highlight w:val="none"/>
        </w:rPr>
      </w:pPr>
    </w:p>
    <w:p w14:paraId="2D3B8AB4">
      <w:pPr>
        <w:wordWrap w:val="0"/>
        <w:adjustRightInd w:val="0"/>
        <w:snapToGrid w:val="0"/>
        <w:spacing w:line="360" w:lineRule="auto"/>
        <w:ind w:firstLine="570"/>
        <w:rPr>
          <w:rFonts w:hint="eastAsia" w:ascii="仿宋" w:hAnsi="仿宋" w:eastAsia="仿宋" w:cs="仿宋"/>
          <w:color w:val="auto"/>
          <w:sz w:val="28"/>
          <w:szCs w:val="28"/>
          <w:highlight w:val="none"/>
        </w:rPr>
      </w:pPr>
    </w:p>
    <w:p w14:paraId="2670DA15">
      <w:pPr>
        <w:wordWrap w:val="0"/>
        <w:adjustRightInd w:val="0"/>
        <w:snapToGrid w:val="0"/>
        <w:spacing w:line="360" w:lineRule="auto"/>
        <w:ind w:firstLine="570"/>
        <w:rPr>
          <w:rFonts w:hint="eastAsia" w:ascii="仿宋" w:hAnsi="仿宋" w:eastAsia="仿宋" w:cs="仿宋"/>
          <w:color w:val="auto"/>
          <w:sz w:val="28"/>
          <w:szCs w:val="28"/>
          <w:highlight w:val="none"/>
        </w:rPr>
      </w:pPr>
    </w:p>
    <w:p w14:paraId="14AB75B7">
      <w:pPr>
        <w:wordWrap w:val="0"/>
        <w:adjustRightInd w:val="0"/>
        <w:snapToGrid w:val="0"/>
        <w:spacing w:line="360" w:lineRule="auto"/>
        <w:ind w:firstLine="570"/>
        <w:rPr>
          <w:rFonts w:hint="eastAsia" w:ascii="仿宋" w:hAnsi="仿宋" w:eastAsia="仿宋" w:cs="仿宋"/>
          <w:color w:val="auto"/>
          <w:sz w:val="28"/>
          <w:szCs w:val="28"/>
          <w:highlight w:val="none"/>
        </w:rPr>
      </w:pPr>
    </w:p>
    <w:p w14:paraId="0578883F">
      <w:pPr>
        <w:wordWrap w:val="0"/>
        <w:adjustRightInd w:val="0"/>
        <w:snapToGrid w:val="0"/>
        <w:spacing w:line="360" w:lineRule="auto"/>
        <w:ind w:firstLine="570"/>
        <w:rPr>
          <w:rFonts w:hint="eastAsia" w:ascii="仿宋" w:hAnsi="仿宋" w:eastAsia="仿宋" w:cs="仿宋"/>
          <w:color w:val="auto"/>
          <w:sz w:val="28"/>
          <w:szCs w:val="28"/>
          <w:highlight w:val="none"/>
        </w:rPr>
      </w:pPr>
    </w:p>
    <w:p w14:paraId="386D0922">
      <w:pPr>
        <w:wordWrap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8"/>
          <w:szCs w:val="28"/>
          <w:highlight w:val="none"/>
          <w:lang w:eastAsia="zh-CN"/>
        </w:rPr>
        <w:t>投标资料</w:t>
      </w:r>
      <w:r>
        <w:rPr>
          <w:rFonts w:hint="eastAsia" w:ascii="仿宋" w:hAnsi="仿宋" w:eastAsia="仿宋" w:cs="仿宋"/>
          <w:b/>
          <w:bCs/>
          <w:color w:val="auto"/>
          <w:sz w:val="28"/>
          <w:szCs w:val="28"/>
          <w:highlight w:val="none"/>
        </w:rPr>
        <w:t>目录</w:t>
      </w:r>
    </w:p>
    <w:tbl>
      <w:tblPr>
        <w:tblStyle w:val="2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5938"/>
        <w:gridCol w:w="2402"/>
      </w:tblGrid>
      <w:tr w14:paraId="78CC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27" w:type="dxa"/>
            <w:vAlign w:val="center"/>
          </w:tcPr>
          <w:p w14:paraId="2DECF4FC">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5938" w:type="dxa"/>
            <w:vAlign w:val="center"/>
          </w:tcPr>
          <w:p w14:paraId="7360FEF5">
            <w:pPr>
              <w:pStyle w:val="70"/>
              <w:keepNext w:val="0"/>
              <w:keepLines w:val="0"/>
              <w:suppressLineNumbers w:val="0"/>
              <w:wordWrap w:val="0"/>
              <w:snapToGrid w:val="0"/>
              <w:spacing w:beforeAutospacing="0" w:afterAutospacing="0"/>
              <w:ind w:left="0" w:right="0"/>
              <w:rPr>
                <w:rFonts w:hint="eastAsia" w:ascii="仿宋" w:hAnsi="仿宋" w:eastAsia="仿宋" w:cs="仿宋"/>
                <w:b/>
                <w:bCs/>
                <w:color w:val="auto"/>
                <w:kern w:val="2"/>
                <w:szCs w:val="24"/>
                <w:highlight w:val="none"/>
                <w:lang w:eastAsia="zh-CN"/>
              </w:rPr>
            </w:pPr>
            <w:r>
              <w:rPr>
                <w:rFonts w:hint="eastAsia" w:ascii="仿宋" w:hAnsi="仿宋" w:eastAsia="仿宋" w:cs="仿宋"/>
                <w:b/>
                <w:bCs/>
                <w:color w:val="auto"/>
                <w:kern w:val="2"/>
                <w:szCs w:val="24"/>
                <w:highlight w:val="none"/>
                <w:lang w:eastAsia="zh-CN"/>
              </w:rPr>
              <w:t>投标内容</w:t>
            </w:r>
          </w:p>
        </w:tc>
        <w:tc>
          <w:tcPr>
            <w:tcW w:w="2402" w:type="dxa"/>
            <w:vAlign w:val="center"/>
          </w:tcPr>
          <w:p w14:paraId="7986B9C8">
            <w:pPr>
              <w:pStyle w:val="70"/>
              <w:keepNext w:val="0"/>
              <w:keepLines w:val="0"/>
              <w:suppressLineNumbers w:val="0"/>
              <w:wordWrap w:val="0"/>
              <w:snapToGrid w:val="0"/>
              <w:spacing w:beforeAutospacing="0" w:afterAutospacing="0"/>
              <w:ind w:left="0" w:right="0"/>
              <w:rPr>
                <w:rFonts w:hint="eastAsia" w:ascii="仿宋" w:hAnsi="仿宋" w:eastAsia="仿宋" w:cs="仿宋"/>
                <w:b/>
                <w:bCs/>
                <w:color w:val="auto"/>
                <w:kern w:val="2"/>
                <w:szCs w:val="24"/>
                <w:highlight w:val="none"/>
              </w:rPr>
            </w:pPr>
            <w:r>
              <w:rPr>
                <w:rFonts w:hint="eastAsia" w:ascii="仿宋" w:hAnsi="仿宋" w:eastAsia="仿宋" w:cs="仿宋"/>
                <w:b/>
                <w:bCs/>
                <w:color w:val="auto"/>
                <w:kern w:val="2"/>
                <w:szCs w:val="24"/>
                <w:highlight w:val="none"/>
              </w:rPr>
              <w:t>资料所在页码</w:t>
            </w:r>
          </w:p>
        </w:tc>
      </w:tr>
      <w:tr w14:paraId="716E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vAlign w:val="center"/>
          </w:tcPr>
          <w:p w14:paraId="6246474C">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5938" w:type="dxa"/>
            <w:vAlign w:val="center"/>
          </w:tcPr>
          <w:p w14:paraId="42502235">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579A3376">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0D61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vAlign w:val="center"/>
          </w:tcPr>
          <w:p w14:paraId="0C0EAD42">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5938" w:type="dxa"/>
            <w:vAlign w:val="center"/>
          </w:tcPr>
          <w:p w14:paraId="38826224">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70C5AC19">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073F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vAlign w:val="center"/>
          </w:tcPr>
          <w:p w14:paraId="41B9B867">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5938" w:type="dxa"/>
            <w:vAlign w:val="center"/>
          </w:tcPr>
          <w:p w14:paraId="3B268A69">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66D2B546">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4C62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vAlign w:val="center"/>
          </w:tcPr>
          <w:p w14:paraId="2483AAD1">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5938" w:type="dxa"/>
            <w:vAlign w:val="center"/>
          </w:tcPr>
          <w:p w14:paraId="7CB1FE69">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197ABFD8">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6226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vAlign w:val="center"/>
          </w:tcPr>
          <w:p w14:paraId="1DEBAFA0">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5938" w:type="dxa"/>
            <w:vAlign w:val="center"/>
          </w:tcPr>
          <w:p w14:paraId="4598084C">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0A59ED7F">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6753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vAlign w:val="center"/>
          </w:tcPr>
          <w:p w14:paraId="1FC92624">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5938" w:type="dxa"/>
            <w:vAlign w:val="center"/>
          </w:tcPr>
          <w:p w14:paraId="1FD04F8E">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739811BE">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5FFF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27" w:type="dxa"/>
            <w:vAlign w:val="center"/>
          </w:tcPr>
          <w:p w14:paraId="5E6CD486">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5938" w:type="dxa"/>
            <w:vAlign w:val="center"/>
          </w:tcPr>
          <w:p w14:paraId="23C1C94E">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599BB41B">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11D3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vAlign w:val="center"/>
          </w:tcPr>
          <w:p w14:paraId="748DF0C5">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5938" w:type="dxa"/>
            <w:vAlign w:val="center"/>
          </w:tcPr>
          <w:p w14:paraId="79105A08">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5E5E84E3">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5FF7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vAlign w:val="center"/>
          </w:tcPr>
          <w:p w14:paraId="6BCC7914">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5938" w:type="dxa"/>
            <w:vAlign w:val="center"/>
          </w:tcPr>
          <w:p w14:paraId="4096440D">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3E951B9B">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1603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vAlign w:val="center"/>
          </w:tcPr>
          <w:p w14:paraId="1EF9D9A0">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5938" w:type="dxa"/>
            <w:vAlign w:val="center"/>
          </w:tcPr>
          <w:p w14:paraId="5523FA94">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5C92DAA8">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46F8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vAlign w:val="center"/>
          </w:tcPr>
          <w:p w14:paraId="4ACDB284">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5938" w:type="dxa"/>
            <w:vAlign w:val="center"/>
          </w:tcPr>
          <w:p w14:paraId="1B3807E1">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5A16E3F1">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07F8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27" w:type="dxa"/>
            <w:vAlign w:val="center"/>
          </w:tcPr>
          <w:p w14:paraId="5D5197DB">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5938" w:type="dxa"/>
            <w:vAlign w:val="center"/>
          </w:tcPr>
          <w:p w14:paraId="70F099E9">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25D54005">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5C37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27" w:type="dxa"/>
            <w:vAlign w:val="center"/>
          </w:tcPr>
          <w:p w14:paraId="63FDB2E8">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5938" w:type="dxa"/>
            <w:vAlign w:val="center"/>
          </w:tcPr>
          <w:p w14:paraId="14BC1C4B">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6CA84EAA">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bl>
    <w:p w14:paraId="57295FFA">
      <w:pPr>
        <w:wordWrap w:val="0"/>
        <w:adjustRightInd w:val="0"/>
        <w:snapToGrid w:val="0"/>
        <w:rPr>
          <w:rFonts w:hint="eastAsia" w:ascii="仿宋" w:hAnsi="仿宋" w:eastAsia="仿宋" w:cs="仿宋"/>
          <w:color w:val="auto"/>
          <w:sz w:val="24"/>
          <w:highlight w:val="none"/>
        </w:rPr>
      </w:pPr>
    </w:p>
    <w:p w14:paraId="5FB189F4">
      <w:pPr>
        <w:wordWrap w:val="0"/>
        <w:adjustRightInd w:val="0"/>
        <w:snapToGrid w:val="0"/>
        <w:rPr>
          <w:rFonts w:hint="eastAsia" w:ascii="仿宋" w:hAnsi="仿宋" w:eastAsia="仿宋" w:cs="仿宋"/>
          <w:color w:val="auto"/>
          <w:sz w:val="24"/>
          <w:highlight w:val="none"/>
        </w:rPr>
      </w:pPr>
    </w:p>
    <w:p w14:paraId="36F85E14">
      <w:pPr>
        <w:wordWrap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可根据评审项目自行设定表格，本表格只作参考。</w:t>
      </w:r>
    </w:p>
    <w:p w14:paraId="5F3A846B">
      <w:pPr>
        <w:wordWrap w:val="0"/>
        <w:jc w:val="center"/>
        <w:rPr>
          <w:rFonts w:hint="eastAsia" w:ascii="仿宋" w:hAnsi="仿宋" w:eastAsia="仿宋" w:cs="仿宋"/>
          <w:color w:val="auto"/>
          <w:sz w:val="24"/>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bCs/>
          <w:color w:val="auto"/>
          <w:sz w:val="28"/>
          <w:szCs w:val="28"/>
          <w:highlight w:val="none"/>
          <w:lang w:val="en-US" w:eastAsia="zh-CN"/>
        </w:rPr>
        <w:t>技术</w:t>
      </w:r>
      <w:r>
        <w:rPr>
          <w:rFonts w:hint="eastAsia" w:ascii="仿宋" w:hAnsi="仿宋" w:eastAsia="仿宋" w:cs="仿宋"/>
          <w:b/>
          <w:bCs/>
          <w:color w:val="auto"/>
          <w:sz w:val="28"/>
          <w:szCs w:val="28"/>
          <w:highlight w:val="none"/>
        </w:rPr>
        <w:t>部分自评表</w:t>
      </w:r>
    </w:p>
    <w:tbl>
      <w:tblPr>
        <w:tblStyle w:val="23"/>
        <w:tblW w:w="96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9"/>
        <w:gridCol w:w="1256"/>
        <w:gridCol w:w="3300"/>
        <w:gridCol w:w="866"/>
        <w:gridCol w:w="921"/>
        <w:gridCol w:w="2166"/>
      </w:tblGrid>
      <w:tr w14:paraId="498B1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tblHeader/>
          <w:jc w:val="center"/>
        </w:trPr>
        <w:tc>
          <w:tcPr>
            <w:tcW w:w="1179" w:type="dxa"/>
            <w:tcBorders>
              <w:top w:val="single" w:color="auto" w:sz="4" w:space="0"/>
              <w:left w:val="single" w:color="auto" w:sz="4" w:space="0"/>
              <w:bottom w:val="single" w:color="auto" w:sz="4" w:space="0"/>
              <w:right w:val="single" w:color="auto" w:sz="4" w:space="0"/>
            </w:tcBorders>
            <w:vAlign w:val="center"/>
          </w:tcPr>
          <w:p w14:paraId="2A6E400A">
            <w:pPr>
              <w:keepNext w:val="0"/>
              <w:keepLines w:val="0"/>
              <w:suppressLineNumbers w:val="0"/>
              <w:wordWrap w:val="0"/>
              <w:spacing w:before="0" w:beforeAutospacing="0" w:after="0" w:afterAutospacing="0" w:line="360" w:lineRule="auto"/>
              <w:ind w:left="374" w:leftChars="-22" w:right="-108" w:hanging="420"/>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lang w:val="en-GB"/>
              </w:rPr>
              <w:t>评审内容</w:t>
            </w:r>
          </w:p>
        </w:tc>
        <w:tc>
          <w:tcPr>
            <w:tcW w:w="1256" w:type="dxa"/>
            <w:tcBorders>
              <w:top w:val="single" w:color="auto" w:sz="4" w:space="0"/>
              <w:left w:val="single" w:color="auto" w:sz="4" w:space="0"/>
              <w:bottom w:val="single" w:color="auto" w:sz="4" w:space="0"/>
              <w:right w:val="single" w:color="auto" w:sz="4" w:space="0"/>
            </w:tcBorders>
            <w:vAlign w:val="center"/>
          </w:tcPr>
          <w:p w14:paraId="4DE4FF6A">
            <w:pPr>
              <w:keepNext w:val="0"/>
              <w:keepLines w:val="0"/>
              <w:suppressLineNumbers w:val="0"/>
              <w:wordWrap w:val="0"/>
              <w:spacing w:before="0" w:beforeAutospacing="0" w:after="0" w:afterAutospacing="0"/>
              <w:ind w:left="0" w:right="0"/>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rPr>
              <w:t>内容</w:t>
            </w:r>
          </w:p>
        </w:tc>
        <w:tc>
          <w:tcPr>
            <w:tcW w:w="3300" w:type="dxa"/>
            <w:tcBorders>
              <w:top w:val="single" w:color="auto" w:sz="4" w:space="0"/>
              <w:left w:val="single" w:color="auto" w:sz="4" w:space="0"/>
              <w:bottom w:val="single" w:color="auto" w:sz="4" w:space="0"/>
              <w:right w:val="single" w:color="auto" w:sz="4" w:space="0"/>
            </w:tcBorders>
            <w:vAlign w:val="center"/>
          </w:tcPr>
          <w:p w14:paraId="113C52ED">
            <w:pPr>
              <w:keepNext w:val="0"/>
              <w:keepLines w:val="0"/>
              <w:suppressLineNumbers w:val="0"/>
              <w:wordWrap w:val="0"/>
              <w:spacing w:before="0" w:beforeAutospacing="0" w:after="0" w:afterAutospacing="0"/>
              <w:ind w:left="0" w:right="0"/>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rPr>
              <w:t>评 审 因 素</w:t>
            </w:r>
          </w:p>
        </w:tc>
        <w:tc>
          <w:tcPr>
            <w:tcW w:w="866" w:type="dxa"/>
            <w:tcBorders>
              <w:top w:val="single" w:color="auto" w:sz="4" w:space="0"/>
              <w:left w:val="single" w:color="auto" w:sz="4" w:space="0"/>
              <w:bottom w:val="single" w:color="auto" w:sz="4" w:space="0"/>
              <w:right w:val="single" w:color="auto" w:sz="4" w:space="0"/>
            </w:tcBorders>
            <w:vAlign w:val="center"/>
          </w:tcPr>
          <w:p w14:paraId="7ABE3861">
            <w:pPr>
              <w:keepNext w:val="0"/>
              <w:keepLines w:val="0"/>
              <w:suppressLineNumbers w:val="0"/>
              <w:wordWrap w:val="0"/>
              <w:spacing w:before="0" w:beforeAutospacing="0" w:after="0" w:afterAutospacing="0"/>
              <w:ind w:left="0" w:right="0"/>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rPr>
              <w:t>单项满分</w:t>
            </w:r>
          </w:p>
        </w:tc>
        <w:tc>
          <w:tcPr>
            <w:tcW w:w="921" w:type="dxa"/>
            <w:tcBorders>
              <w:top w:val="single" w:color="auto" w:sz="4" w:space="0"/>
              <w:left w:val="single" w:color="auto" w:sz="4" w:space="0"/>
              <w:bottom w:val="single" w:color="auto" w:sz="4" w:space="0"/>
              <w:right w:val="single" w:color="auto" w:sz="4" w:space="0"/>
            </w:tcBorders>
            <w:vAlign w:val="center"/>
          </w:tcPr>
          <w:p w14:paraId="1310A294">
            <w:pPr>
              <w:keepNext w:val="0"/>
              <w:keepLines w:val="0"/>
              <w:suppressLineNumbers w:val="0"/>
              <w:wordWrap w:val="0"/>
              <w:spacing w:before="0" w:beforeAutospacing="0" w:after="0" w:afterAutospacing="0" w:line="360" w:lineRule="auto"/>
              <w:ind w:left="0" w:right="-108"/>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lang w:val="en-GB"/>
              </w:rPr>
              <w:t>自评分</w:t>
            </w:r>
          </w:p>
        </w:tc>
        <w:tc>
          <w:tcPr>
            <w:tcW w:w="2166" w:type="dxa"/>
            <w:tcBorders>
              <w:top w:val="single" w:color="auto" w:sz="4" w:space="0"/>
              <w:left w:val="single" w:color="auto" w:sz="4" w:space="0"/>
              <w:bottom w:val="single" w:color="auto" w:sz="4" w:space="0"/>
              <w:right w:val="single" w:color="auto" w:sz="4" w:space="0"/>
            </w:tcBorders>
            <w:vAlign w:val="center"/>
          </w:tcPr>
          <w:p w14:paraId="1591A73C">
            <w:pPr>
              <w:keepNext w:val="0"/>
              <w:keepLines w:val="0"/>
              <w:suppressLineNumbers w:val="0"/>
              <w:wordWrap w:val="0"/>
              <w:spacing w:before="0" w:beforeAutospacing="0" w:after="0" w:afterAutospacing="0" w:line="360" w:lineRule="auto"/>
              <w:ind w:left="0" w:right="-108"/>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lang w:val="en-GB"/>
              </w:rPr>
              <w:t>证明文件</w:t>
            </w:r>
          </w:p>
        </w:tc>
      </w:tr>
      <w:tr w14:paraId="7DBAD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restart"/>
            <w:tcBorders>
              <w:left w:val="single" w:color="auto" w:sz="4" w:space="0"/>
              <w:right w:val="single" w:color="auto" w:sz="4" w:space="0"/>
            </w:tcBorders>
            <w:vAlign w:val="center"/>
          </w:tcPr>
          <w:p w14:paraId="2EDCF59F">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技术</w:t>
            </w:r>
            <w:r>
              <w:rPr>
                <w:rFonts w:hint="eastAsia" w:ascii="仿宋" w:hAnsi="仿宋" w:eastAsia="仿宋" w:cs="仿宋"/>
                <w:color w:val="auto"/>
                <w:sz w:val="24"/>
                <w:highlight w:val="none"/>
              </w:rPr>
              <w:t>部分得分</w:t>
            </w:r>
          </w:p>
          <w:p w14:paraId="1FAC5A73">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分）</w:t>
            </w:r>
          </w:p>
        </w:tc>
        <w:tc>
          <w:tcPr>
            <w:tcW w:w="1256" w:type="dxa"/>
            <w:tcBorders>
              <w:top w:val="single" w:color="auto" w:sz="4" w:space="0"/>
              <w:left w:val="single" w:color="auto" w:sz="4" w:space="0"/>
              <w:bottom w:val="single" w:color="auto" w:sz="4" w:space="0"/>
              <w:right w:val="single" w:color="auto" w:sz="4" w:space="0"/>
            </w:tcBorders>
            <w:vAlign w:val="center"/>
          </w:tcPr>
          <w:p w14:paraId="28A82313">
            <w:pPr>
              <w:keepNext w:val="0"/>
              <w:keepLines w:val="0"/>
              <w:suppressLineNumbers w:val="0"/>
              <w:tabs>
                <w:tab w:val="left" w:pos="972"/>
              </w:tabs>
              <w:wordWrap w:val="0"/>
              <w:spacing w:before="0" w:beforeAutospacing="0" w:after="0" w:afterAutospacing="0"/>
              <w:ind w:left="0" w:right="0"/>
              <w:rPr>
                <w:rFonts w:hint="eastAsia" w:ascii="仿宋" w:hAnsi="仿宋" w:eastAsia="仿宋" w:cs="仿宋"/>
                <w:color w:val="auto"/>
                <w:sz w:val="24"/>
                <w:highlight w:val="none"/>
              </w:rPr>
            </w:pPr>
          </w:p>
        </w:tc>
        <w:tc>
          <w:tcPr>
            <w:tcW w:w="3300" w:type="dxa"/>
            <w:tcBorders>
              <w:top w:val="single" w:color="auto" w:sz="4" w:space="0"/>
              <w:left w:val="single" w:color="auto" w:sz="4" w:space="0"/>
              <w:bottom w:val="single" w:color="auto" w:sz="4" w:space="0"/>
              <w:right w:val="single" w:color="auto" w:sz="4" w:space="0"/>
            </w:tcBorders>
            <w:vAlign w:val="center"/>
          </w:tcPr>
          <w:p w14:paraId="53DE4C81">
            <w:pPr>
              <w:keepNext w:val="0"/>
              <w:keepLines w:val="0"/>
              <w:suppressLineNumbers w:val="0"/>
              <w:tabs>
                <w:tab w:val="left" w:pos="972"/>
              </w:tabs>
              <w:wordWrap w:val="0"/>
              <w:spacing w:before="0" w:beforeAutospacing="0" w:after="0" w:afterAutospacing="0"/>
              <w:ind w:left="0" w:right="0"/>
              <w:rPr>
                <w:rFonts w:hint="eastAsia" w:ascii="仿宋" w:hAnsi="仿宋" w:eastAsia="仿宋" w:cs="仿宋"/>
                <w:color w:val="auto"/>
                <w:sz w:val="24"/>
                <w:highlight w:val="none"/>
              </w:rPr>
            </w:pPr>
          </w:p>
        </w:tc>
        <w:tc>
          <w:tcPr>
            <w:tcW w:w="866" w:type="dxa"/>
            <w:tcBorders>
              <w:top w:val="single" w:color="auto" w:sz="4" w:space="0"/>
              <w:left w:val="single" w:color="auto" w:sz="4" w:space="0"/>
              <w:right w:val="single" w:color="auto" w:sz="4" w:space="0"/>
            </w:tcBorders>
            <w:vAlign w:val="center"/>
          </w:tcPr>
          <w:p w14:paraId="4A55C722">
            <w:pPr>
              <w:keepNext w:val="0"/>
              <w:keepLines w:val="0"/>
              <w:suppressLineNumbers w:val="0"/>
              <w:tabs>
                <w:tab w:val="left" w:pos="972"/>
              </w:tabs>
              <w:wordWrap w:val="0"/>
              <w:spacing w:before="0" w:beforeAutospacing="0" w:after="0" w:afterAutospacing="0"/>
              <w:ind w:left="0" w:right="0"/>
              <w:jc w:val="center"/>
              <w:rPr>
                <w:rFonts w:hint="eastAsia" w:ascii="仿宋" w:hAnsi="仿宋" w:eastAsia="仿宋" w:cs="仿宋"/>
                <w:color w:val="auto"/>
                <w:sz w:val="24"/>
                <w:highlight w:val="none"/>
              </w:rPr>
            </w:pPr>
          </w:p>
        </w:tc>
        <w:tc>
          <w:tcPr>
            <w:tcW w:w="921" w:type="dxa"/>
            <w:tcBorders>
              <w:top w:val="single" w:color="auto" w:sz="4" w:space="0"/>
              <w:left w:val="single" w:color="auto" w:sz="4" w:space="0"/>
              <w:right w:val="single" w:color="auto" w:sz="4" w:space="0"/>
            </w:tcBorders>
            <w:vAlign w:val="center"/>
          </w:tcPr>
          <w:p w14:paraId="5626F65B">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c>
          <w:tcPr>
            <w:tcW w:w="2166" w:type="dxa"/>
            <w:tcBorders>
              <w:top w:val="single" w:color="auto" w:sz="4" w:space="0"/>
              <w:left w:val="single" w:color="auto" w:sz="4" w:space="0"/>
              <w:right w:val="single" w:color="auto" w:sz="4" w:space="0"/>
            </w:tcBorders>
            <w:vAlign w:val="center"/>
          </w:tcPr>
          <w:p w14:paraId="4D1E24E2">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7681E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14:paraId="74FC585B">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56" w:type="dxa"/>
            <w:tcBorders>
              <w:top w:val="single" w:color="auto" w:sz="4" w:space="0"/>
              <w:left w:val="single" w:color="auto" w:sz="4" w:space="0"/>
              <w:right w:val="single" w:color="auto" w:sz="4" w:space="0"/>
            </w:tcBorders>
            <w:vAlign w:val="center"/>
          </w:tcPr>
          <w:p w14:paraId="5581621B">
            <w:pPr>
              <w:keepNext w:val="0"/>
              <w:keepLines w:val="0"/>
              <w:suppressLineNumbers w:val="0"/>
              <w:tabs>
                <w:tab w:val="left" w:pos="972"/>
              </w:tabs>
              <w:wordWrap w:val="0"/>
              <w:spacing w:before="0" w:beforeAutospacing="0" w:after="0" w:afterAutospacing="0"/>
              <w:ind w:left="0" w:right="0"/>
              <w:rPr>
                <w:rFonts w:hint="eastAsia" w:ascii="仿宋" w:hAnsi="仿宋" w:eastAsia="仿宋" w:cs="仿宋"/>
                <w:color w:val="auto"/>
                <w:sz w:val="24"/>
                <w:highlight w:val="none"/>
              </w:rPr>
            </w:pPr>
          </w:p>
        </w:tc>
        <w:tc>
          <w:tcPr>
            <w:tcW w:w="3300" w:type="dxa"/>
            <w:tcBorders>
              <w:top w:val="single" w:color="auto" w:sz="4" w:space="0"/>
              <w:left w:val="single" w:color="auto" w:sz="4" w:space="0"/>
              <w:right w:val="single" w:color="auto" w:sz="4" w:space="0"/>
            </w:tcBorders>
            <w:vAlign w:val="center"/>
          </w:tcPr>
          <w:p w14:paraId="7D38154E">
            <w:pPr>
              <w:keepNext w:val="0"/>
              <w:keepLines w:val="0"/>
              <w:suppressLineNumbers w:val="0"/>
              <w:tabs>
                <w:tab w:val="left" w:pos="972"/>
              </w:tabs>
              <w:wordWrap w:val="0"/>
              <w:spacing w:before="0" w:beforeAutospacing="0" w:after="0" w:afterAutospacing="0"/>
              <w:ind w:left="0" w:right="0"/>
              <w:rPr>
                <w:rFonts w:hint="eastAsia" w:ascii="仿宋" w:hAnsi="仿宋" w:eastAsia="仿宋" w:cs="仿宋"/>
                <w:color w:val="auto"/>
                <w:kern w:val="0"/>
                <w:sz w:val="24"/>
                <w:highlight w:val="none"/>
              </w:rPr>
            </w:pPr>
          </w:p>
        </w:tc>
        <w:tc>
          <w:tcPr>
            <w:tcW w:w="866" w:type="dxa"/>
            <w:tcBorders>
              <w:top w:val="single" w:color="auto" w:sz="4" w:space="0"/>
              <w:left w:val="single" w:color="auto" w:sz="4" w:space="0"/>
              <w:right w:val="single" w:color="auto" w:sz="4" w:space="0"/>
            </w:tcBorders>
            <w:vAlign w:val="center"/>
          </w:tcPr>
          <w:p w14:paraId="262835F0">
            <w:pPr>
              <w:keepNext w:val="0"/>
              <w:keepLines w:val="0"/>
              <w:suppressLineNumbers w:val="0"/>
              <w:wordWrap w:val="0"/>
              <w:spacing w:before="0" w:beforeAutospacing="0" w:after="0" w:afterAutospacing="0"/>
              <w:ind w:left="0" w:right="0"/>
              <w:jc w:val="center"/>
              <w:rPr>
                <w:rFonts w:hint="eastAsia" w:ascii="仿宋" w:hAnsi="仿宋" w:eastAsia="仿宋" w:cs="仿宋"/>
                <w:color w:val="auto"/>
                <w:kern w:val="0"/>
                <w:sz w:val="24"/>
                <w:highlight w:val="none"/>
              </w:rPr>
            </w:pPr>
          </w:p>
        </w:tc>
        <w:tc>
          <w:tcPr>
            <w:tcW w:w="921" w:type="dxa"/>
            <w:tcBorders>
              <w:top w:val="single" w:color="auto" w:sz="4" w:space="0"/>
              <w:left w:val="single" w:color="auto" w:sz="4" w:space="0"/>
              <w:right w:val="single" w:color="auto" w:sz="4" w:space="0"/>
            </w:tcBorders>
            <w:vAlign w:val="center"/>
          </w:tcPr>
          <w:p w14:paraId="04F63DCF">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c>
          <w:tcPr>
            <w:tcW w:w="2166" w:type="dxa"/>
            <w:tcBorders>
              <w:top w:val="single" w:color="auto" w:sz="4" w:space="0"/>
              <w:left w:val="single" w:color="auto" w:sz="4" w:space="0"/>
              <w:right w:val="single" w:color="auto" w:sz="4" w:space="0"/>
            </w:tcBorders>
            <w:vAlign w:val="center"/>
          </w:tcPr>
          <w:p w14:paraId="5275B838">
            <w:pPr>
              <w:keepNext w:val="0"/>
              <w:keepLines w:val="0"/>
              <w:suppressLineNumbers w:val="0"/>
              <w:wordWrap w:val="0"/>
              <w:spacing w:before="0" w:beforeAutospacing="0" w:after="0" w:afterAutospacing="0" w:line="360" w:lineRule="auto"/>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0E733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14:paraId="4BD19A52">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56" w:type="dxa"/>
            <w:tcBorders>
              <w:top w:val="single" w:color="auto" w:sz="4" w:space="0"/>
              <w:left w:val="single" w:color="auto" w:sz="4" w:space="0"/>
              <w:right w:val="single" w:color="auto" w:sz="4" w:space="0"/>
            </w:tcBorders>
            <w:vAlign w:val="center"/>
          </w:tcPr>
          <w:p w14:paraId="6A9C5D77">
            <w:pPr>
              <w:keepNext w:val="0"/>
              <w:keepLines w:val="0"/>
              <w:suppressLineNumbers w:val="0"/>
              <w:tabs>
                <w:tab w:val="left" w:pos="972"/>
              </w:tabs>
              <w:wordWrap w:val="0"/>
              <w:spacing w:before="0" w:beforeAutospacing="0" w:after="0" w:afterAutospacing="0"/>
              <w:ind w:left="0" w:right="0"/>
              <w:rPr>
                <w:rFonts w:hint="eastAsia" w:ascii="仿宋" w:hAnsi="仿宋" w:eastAsia="仿宋" w:cs="仿宋"/>
                <w:color w:val="auto"/>
                <w:sz w:val="24"/>
                <w:highlight w:val="none"/>
              </w:rPr>
            </w:pPr>
          </w:p>
        </w:tc>
        <w:tc>
          <w:tcPr>
            <w:tcW w:w="3300" w:type="dxa"/>
            <w:tcBorders>
              <w:top w:val="single" w:color="auto" w:sz="4" w:space="0"/>
              <w:left w:val="single" w:color="auto" w:sz="4" w:space="0"/>
              <w:right w:val="single" w:color="auto" w:sz="4" w:space="0"/>
            </w:tcBorders>
            <w:vAlign w:val="center"/>
          </w:tcPr>
          <w:p w14:paraId="73F8AD4C">
            <w:pPr>
              <w:keepNext w:val="0"/>
              <w:keepLines w:val="0"/>
              <w:suppressLineNumbers w:val="0"/>
              <w:tabs>
                <w:tab w:val="left" w:pos="972"/>
              </w:tabs>
              <w:wordWrap w:val="0"/>
              <w:spacing w:before="0" w:beforeAutospacing="0" w:after="0" w:afterAutospacing="0"/>
              <w:ind w:left="0" w:right="0"/>
              <w:rPr>
                <w:rFonts w:hint="eastAsia" w:ascii="仿宋" w:hAnsi="仿宋" w:eastAsia="仿宋" w:cs="仿宋"/>
                <w:color w:val="auto"/>
                <w:kern w:val="0"/>
                <w:sz w:val="24"/>
                <w:highlight w:val="none"/>
              </w:rPr>
            </w:pPr>
          </w:p>
        </w:tc>
        <w:tc>
          <w:tcPr>
            <w:tcW w:w="866" w:type="dxa"/>
            <w:tcBorders>
              <w:top w:val="single" w:color="auto" w:sz="4" w:space="0"/>
              <w:left w:val="single" w:color="auto" w:sz="4" w:space="0"/>
              <w:right w:val="single" w:color="auto" w:sz="4" w:space="0"/>
            </w:tcBorders>
            <w:vAlign w:val="center"/>
          </w:tcPr>
          <w:p w14:paraId="10471B0D">
            <w:pPr>
              <w:keepNext w:val="0"/>
              <w:keepLines w:val="0"/>
              <w:suppressLineNumbers w:val="0"/>
              <w:wordWrap w:val="0"/>
              <w:spacing w:before="0" w:beforeAutospacing="0" w:after="0" w:afterAutospacing="0"/>
              <w:ind w:left="0" w:right="0"/>
              <w:jc w:val="center"/>
              <w:rPr>
                <w:rFonts w:hint="eastAsia" w:ascii="仿宋" w:hAnsi="仿宋" w:eastAsia="仿宋" w:cs="仿宋"/>
                <w:color w:val="auto"/>
                <w:sz w:val="24"/>
                <w:highlight w:val="none"/>
              </w:rPr>
            </w:pPr>
          </w:p>
        </w:tc>
        <w:tc>
          <w:tcPr>
            <w:tcW w:w="921" w:type="dxa"/>
            <w:tcBorders>
              <w:top w:val="single" w:color="auto" w:sz="4" w:space="0"/>
              <w:left w:val="single" w:color="auto" w:sz="4" w:space="0"/>
              <w:right w:val="single" w:color="auto" w:sz="4" w:space="0"/>
            </w:tcBorders>
            <w:vAlign w:val="center"/>
          </w:tcPr>
          <w:p w14:paraId="5262F1B1">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2166" w:type="dxa"/>
            <w:tcBorders>
              <w:top w:val="single" w:color="auto" w:sz="4" w:space="0"/>
              <w:left w:val="single" w:color="auto" w:sz="4" w:space="0"/>
              <w:right w:val="single" w:color="auto" w:sz="4" w:space="0"/>
            </w:tcBorders>
            <w:vAlign w:val="center"/>
          </w:tcPr>
          <w:p w14:paraId="5B2B0963">
            <w:pPr>
              <w:keepNext w:val="0"/>
              <w:keepLines w:val="0"/>
              <w:suppressLineNumbers w:val="0"/>
              <w:wordWrap w:val="0"/>
              <w:spacing w:before="0" w:beforeAutospacing="0" w:after="0" w:afterAutospacing="0" w:line="360" w:lineRule="auto"/>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72C90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14:paraId="65923A9E">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56" w:type="dxa"/>
            <w:tcBorders>
              <w:top w:val="single" w:color="auto" w:sz="4" w:space="0"/>
              <w:left w:val="single" w:color="auto" w:sz="4" w:space="0"/>
              <w:bottom w:val="single" w:color="auto" w:sz="4" w:space="0"/>
              <w:right w:val="single" w:color="auto" w:sz="4" w:space="0"/>
            </w:tcBorders>
            <w:vAlign w:val="center"/>
          </w:tcPr>
          <w:p w14:paraId="3D085C97">
            <w:pPr>
              <w:keepNext w:val="0"/>
              <w:keepLines w:val="0"/>
              <w:suppressLineNumbers w:val="0"/>
              <w:wordWrap w:val="0"/>
              <w:snapToGrid w:val="0"/>
              <w:spacing w:before="0" w:beforeAutospacing="0" w:after="156" w:afterAutospacing="0"/>
              <w:ind w:left="0" w:right="0"/>
              <w:rPr>
                <w:rFonts w:hint="eastAsia" w:ascii="仿宋" w:hAnsi="仿宋" w:eastAsia="仿宋" w:cs="仿宋"/>
                <w:color w:val="auto"/>
                <w:sz w:val="24"/>
                <w:highlight w:val="none"/>
              </w:rPr>
            </w:pPr>
          </w:p>
        </w:tc>
        <w:tc>
          <w:tcPr>
            <w:tcW w:w="3300" w:type="dxa"/>
            <w:tcBorders>
              <w:top w:val="single" w:color="auto" w:sz="4" w:space="0"/>
              <w:left w:val="single" w:color="auto" w:sz="4" w:space="0"/>
              <w:bottom w:val="single" w:color="auto" w:sz="4" w:space="0"/>
              <w:right w:val="single" w:color="auto" w:sz="4" w:space="0"/>
            </w:tcBorders>
            <w:vAlign w:val="center"/>
          </w:tcPr>
          <w:p w14:paraId="3974729B">
            <w:pPr>
              <w:keepNext w:val="0"/>
              <w:keepLines w:val="0"/>
              <w:suppressLineNumbers w:val="0"/>
              <w:tabs>
                <w:tab w:val="left" w:pos="972"/>
              </w:tabs>
              <w:wordWrap w:val="0"/>
              <w:spacing w:before="0" w:beforeAutospacing="0" w:after="0" w:afterAutospacing="0"/>
              <w:ind w:left="0" w:right="0"/>
              <w:rPr>
                <w:rFonts w:hint="eastAsia" w:ascii="仿宋" w:hAnsi="仿宋" w:eastAsia="仿宋" w:cs="仿宋"/>
                <w:color w:val="auto"/>
                <w:kern w:val="0"/>
                <w:sz w:val="24"/>
                <w:highlight w:val="none"/>
              </w:rPr>
            </w:pPr>
          </w:p>
        </w:tc>
        <w:tc>
          <w:tcPr>
            <w:tcW w:w="866" w:type="dxa"/>
            <w:tcBorders>
              <w:top w:val="single" w:color="auto" w:sz="4" w:space="0"/>
              <w:left w:val="single" w:color="auto" w:sz="4" w:space="0"/>
              <w:bottom w:val="single" w:color="auto" w:sz="4" w:space="0"/>
              <w:right w:val="single" w:color="auto" w:sz="4" w:space="0"/>
            </w:tcBorders>
            <w:vAlign w:val="center"/>
          </w:tcPr>
          <w:p w14:paraId="4098E6F5">
            <w:pPr>
              <w:keepNext w:val="0"/>
              <w:keepLines w:val="0"/>
              <w:suppressLineNumbers w:val="0"/>
              <w:wordWrap w:val="0"/>
              <w:spacing w:before="0" w:beforeAutospacing="0" w:after="0" w:afterAutospacing="0"/>
              <w:ind w:left="0" w:right="0"/>
              <w:jc w:val="center"/>
              <w:rPr>
                <w:rFonts w:hint="eastAsia" w:ascii="仿宋" w:hAnsi="仿宋" w:eastAsia="仿宋" w:cs="仿宋"/>
                <w:color w:val="auto"/>
                <w:kern w:val="0"/>
                <w:sz w:val="24"/>
                <w:highlight w:val="none"/>
              </w:rPr>
            </w:pPr>
          </w:p>
        </w:tc>
        <w:tc>
          <w:tcPr>
            <w:tcW w:w="921" w:type="dxa"/>
            <w:tcBorders>
              <w:top w:val="single" w:color="auto" w:sz="4" w:space="0"/>
              <w:left w:val="single" w:color="auto" w:sz="4" w:space="0"/>
              <w:bottom w:val="single" w:color="auto" w:sz="4" w:space="0"/>
              <w:right w:val="single" w:color="auto" w:sz="4" w:space="0"/>
            </w:tcBorders>
            <w:vAlign w:val="center"/>
          </w:tcPr>
          <w:p w14:paraId="219DE60D">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c>
          <w:tcPr>
            <w:tcW w:w="2166" w:type="dxa"/>
            <w:tcBorders>
              <w:top w:val="single" w:color="auto" w:sz="4" w:space="0"/>
              <w:left w:val="single" w:color="auto" w:sz="4" w:space="0"/>
              <w:bottom w:val="single" w:color="auto" w:sz="4" w:space="0"/>
              <w:right w:val="single" w:color="auto" w:sz="4" w:space="0"/>
            </w:tcBorders>
            <w:vAlign w:val="center"/>
          </w:tcPr>
          <w:p w14:paraId="2F01B438">
            <w:pPr>
              <w:keepNext w:val="0"/>
              <w:keepLines w:val="0"/>
              <w:suppressLineNumbers w:val="0"/>
              <w:wordWrap w:val="0"/>
              <w:spacing w:before="0" w:beforeAutospacing="0" w:after="0" w:afterAutospacing="0" w:line="360" w:lineRule="auto"/>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2C377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14:paraId="7FBE82B9">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56" w:type="dxa"/>
            <w:tcBorders>
              <w:top w:val="single" w:color="auto" w:sz="4" w:space="0"/>
              <w:left w:val="single" w:color="auto" w:sz="4" w:space="0"/>
              <w:bottom w:val="single" w:color="auto" w:sz="4" w:space="0"/>
              <w:right w:val="single" w:color="auto" w:sz="4" w:space="0"/>
            </w:tcBorders>
            <w:vAlign w:val="center"/>
          </w:tcPr>
          <w:p w14:paraId="72E2806F">
            <w:pPr>
              <w:keepNext w:val="0"/>
              <w:keepLines w:val="0"/>
              <w:suppressLineNumbers w:val="0"/>
              <w:wordWrap w:val="0"/>
              <w:snapToGrid w:val="0"/>
              <w:spacing w:before="0" w:beforeAutospacing="0" w:after="156" w:afterAutospacing="0"/>
              <w:ind w:left="0" w:right="0"/>
              <w:rPr>
                <w:rFonts w:hint="eastAsia" w:ascii="仿宋" w:hAnsi="仿宋" w:eastAsia="仿宋" w:cs="仿宋"/>
                <w:color w:val="auto"/>
                <w:sz w:val="24"/>
                <w:highlight w:val="none"/>
              </w:rPr>
            </w:pPr>
          </w:p>
        </w:tc>
        <w:tc>
          <w:tcPr>
            <w:tcW w:w="3300" w:type="dxa"/>
            <w:tcBorders>
              <w:top w:val="single" w:color="auto" w:sz="4" w:space="0"/>
              <w:left w:val="single" w:color="auto" w:sz="4" w:space="0"/>
              <w:bottom w:val="single" w:color="auto" w:sz="4" w:space="0"/>
              <w:right w:val="single" w:color="auto" w:sz="4" w:space="0"/>
            </w:tcBorders>
            <w:vAlign w:val="center"/>
          </w:tcPr>
          <w:p w14:paraId="2FF37B89">
            <w:pPr>
              <w:keepNext w:val="0"/>
              <w:keepLines w:val="0"/>
              <w:suppressLineNumbers w:val="0"/>
              <w:tabs>
                <w:tab w:val="left" w:pos="972"/>
              </w:tabs>
              <w:wordWrap w:val="0"/>
              <w:spacing w:before="0" w:beforeAutospacing="0" w:after="0" w:afterAutospacing="0"/>
              <w:ind w:left="0" w:right="0"/>
              <w:rPr>
                <w:rFonts w:hint="eastAsia" w:ascii="仿宋" w:hAnsi="仿宋" w:eastAsia="仿宋" w:cs="仿宋"/>
                <w:color w:val="auto"/>
                <w:sz w:val="24"/>
                <w:highlight w:val="none"/>
              </w:rPr>
            </w:pPr>
          </w:p>
        </w:tc>
        <w:tc>
          <w:tcPr>
            <w:tcW w:w="866" w:type="dxa"/>
            <w:tcBorders>
              <w:top w:val="single" w:color="auto" w:sz="4" w:space="0"/>
              <w:left w:val="single" w:color="auto" w:sz="4" w:space="0"/>
              <w:bottom w:val="single" w:color="auto" w:sz="4" w:space="0"/>
              <w:right w:val="single" w:color="auto" w:sz="4" w:space="0"/>
            </w:tcBorders>
            <w:vAlign w:val="center"/>
          </w:tcPr>
          <w:p w14:paraId="11DAA051">
            <w:pPr>
              <w:keepNext w:val="0"/>
              <w:keepLines w:val="0"/>
              <w:suppressLineNumbers w:val="0"/>
              <w:wordWrap w:val="0"/>
              <w:spacing w:before="0" w:beforeAutospacing="0" w:after="0" w:afterAutospacing="0"/>
              <w:ind w:left="0" w:right="0"/>
              <w:jc w:val="center"/>
              <w:rPr>
                <w:rFonts w:hint="eastAsia" w:ascii="仿宋" w:hAnsi="仿宋" w:eastAsia="仿宋" w:cs="仿宋"/>
                <w:color w:val="auto"/>
                <w:kern w:val="0"/>
                <w:sz w:val="24"/>
                <w:highlight w:val="none"/>
              </w:rPr>
            </w:pPr>
          </w:p>
        </w:tc>
        <w:tc>
          <w:tcPr>
            <w:tcW w:w="921" w:type="dxa"/>
            <w:tcBorders>
              <w:top w:val="single" w:color="auto" w:sz="4" w:space="0"/>
              <w:left w:val="single" w:color="auto" w:sz="4" w:space="0"/>
              <w:bottom w:val="single" w:color="auto" w:sz="4" w:space="0"/>
              <w:right w:val="single" w:color="auto" w:sz="4" w:space="0"/>
            </w:tcBorders>
            <w:vAlign w:val="center"/>
          </w:tcPr>
          <w:p w14:paraId="65092B08">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c>
          <w:tcPr>
            <w:tcW w:w="2166" w:type="dxa"/>
            <w:tcBorders>
              <w:top w:val="single" w:color="auto" w:sz="4" w:space="0"/>
              <w:left w:val="single" w:color="auto" w:sz="4" w:space="0"/>
              <w:bottom w:val="single" w:color="auto" w:sz="4" w:space="0"/>
              <w:right w:val="single" w:color="auto" w:sz="4" w:space="0"/>
            </w:tcBorders>
            <w:vAlign w:val="center"/>
          </w:tcPr>
          <w:p w14:paraId="57A8A3FE">
            <w:pPr>
              <w:keepNext w:val="0"/>
              <w:keepLines w:val="0"/>
              <w:suppressLineNumbers w:val="0"/>
              <w:wordWrap w:val="0"/>
              <w:spacing w:before="0" w:beforeAutospacing="0" w:after="0" w:afterAutospacing="0" w:line="360" w:lineRule="auto"/>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658B3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14:paraId="045CE90D">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56" w:type="dxa"/>
            <w:tcBorders>
              <w:top w:val="single" w:color="auto" w:sz="4" w:space="0"/>
              <w:left w:val="single" w:color="auto" w:sz="4" w:space="0"/>
              <w:bottom w:val="single" w:color="auto" w:sz="4" w:space="0"/>
              <w:right w:val="single" w:color="auto" w:sz="4" w:space="0"/>
            </w:tcBorders>
            <w:vAlign w:val="center"/>
          </w:tcPr>
          <w:p w14:paraId="047E706C">
            <w:pPr>
              <w:keepNext w:val="0"/>
              <w:keepLines w:val="0"/>
              <w:suppressLineNumbers w:val="0"/>
              <w:wordWrap w:val="0"/>
              <w:snapToGrid w:val="0"/>
              <w:spacing w:before="0" w:beforeAutospacing="0" w:after="156" w:afterAutospacing="0"/>
              <w:ind w:left="0" w:right="0"/>
              <w:rPr>
                <w:rFonts w:hint="eastAsia" w:ascii="仿宋" w:hAnsi="仿宋" w:eastAsia="仿宋" w:cs="仿宋"/>
                <w:color w:val="auto"/>
                <w:sz w:val="24"/>
                <w:highlight w:val="none"/>
              </w:rPr>
            </w:pPr>
          </w:p>
        </w:tc>
        <w:tc>
          <w:tcPr>
            <w:tcW w:w="3300" w:type="dxa"/>
            <w:tcBorders>
              <w:top w:val="single" w:color="auto" w:sz="4" w:space="0"/>
              <w:left w:val="single" w:color="auto" w:sz="4" w:space="0"/>
              <w:bottom w:val="single" w:color="auto" w:sz="4" w:space="0"/>
              <w:right w:val="single" w:color="auto" w:sz="4" w:space="0"/>
            </w:tcBorders>
            <w:vAlign w:val="center"/>
          </w:tcPr>
          <w:p w14:paraId="4EC1DB3B">
            <w:pPr>
              <w:keepNext w:val="0"/>
              <w:keepLines w:val="0"/>
              <w:suppressLineNumbers w:val="0"/>
              <w:tabs>
                <w:tab w:val="left" w:pos="972"/>
              </w:tabs>
              <w:wordWrap w:val="0"/>
              <w:spacing w:before="0" w:beforeAutospacing="0" w:after="0" w:afterAutospacing="0"/>
              <w:ind w:left="0" w:right="0"/>
              <w:rPr>
                <w:rFonts w:hint="eastAsia" w:ascii="仿宋" w:hAnsi="仿宋" w:eastAsia="仿宋" w:cs="仿宋"/>
                <w:color w:val="auto"/>
                <w:sz w:val="24"/>
                <w:highlight w:val="none"/>
              </w:rPr>
            </w:pPr>
          </w:p>
        </w:tc>
        <w:tc>
          <w:tcPr>
            <w:tcW w:w="866" w:type="dxa"/>
            <w:tcBorders>
              <w:top w:val="single" w:color="auto" w:sz="4" w:space="0"/>
              <w:left w:val="single" w:color="auto" w:sz="4" w:space="0"/>
              <w:bottom w:val="single" w:color="auto" w:sz="4" w:space="0"/>
              <w:right w:val="single" w:color="auto" w:sz="4" w:space="0"/>
            </w:tcBorders>
            <w:vAlign w:val="center"/>
          </w:tcPr>
          <w:p w14:paraId="737AAEB5">
            <w:pPr>
              <w:keepNext w:val="0"/>
              <w:keepLines w:val="0"/>
              <w:suppressLineNumbers w:val="0"/>
              <w:wordWrap w:val="0"/>
              <w:spacing w:before="0" w:beforeAutospacing="0" w:after="0" w:afterAutospacing="0"/>
              <w:ind w:left="0" w:right="0"/>
              <w:jc w:val="center"/>
              <w:rPr>
                <w:rFonts w:hint="eastAsia" w:ascii="仿宋" w:hAnsi="仿宋" w:eastAsia="仿宋" w:cs="仿宋"/>
                <w:color w:val="auto"/>
                <w:kern w:val="0"/>
                <w:sz w:val="24"/>
                <w:highlight w:val="none"/>
              </w:rPr>
            </w:pPr>
          </w:p>
        </w:tc>
        <w:tc>
          <w:tcPr>
            <w:tcW w:w="921" w:type="dxa"/>
            <w:tcBorders>
              <w:top w:val="single" w:color="auto" w:sz="4" w:space="0"/>
              <w:left w:val="single" w:color="auto" w:sz="4" w:space="0"/>
              <w:bottom w:val="single" w:color="auto" w:sz="4" w:space="0"/>
              <w:right w:val="single" w:color="auto" w:sz="4" w:space="0"/>
            </w:tcBorders>
            <w:vAlign w:val="center"/>
          </w:tcPr>
          <w:p w14:paraId="37E625BE">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c>
          <w:tcPr>
            <w:tcW w:w="2166" w:type="dxa"/>
            <w:tcBorders>
              <w:top w:val="single" w:color="auto" w:sz="4" w:space="0"/>
              <w:left w:val="single" w:color="auto" w:sz="4" w:space="0"/>
              <w:bottom w:val="single" w:color="auto" w:sz="4" w:space="0"/>
              <w:right w:val="single" w:color="auto" w:sz="4" w:space="0"/>
            </w:tcBorders>
            <w:vAlign w:val="center"/>
          </w:tcPr>
          <w:p w14:paraId="49472B19">
            <w:pPr>
              <w:keepNext w:val="0"/>
              <w:keepLines w:val="0"/>
              <w:suppressLineNumbers w:val="0"/>
              <w:wordWrap w:val="0"/>
              <w:spacing w:before="0" w:beforeAutospacing="0" w:after="0" w:afterAutospacing="0" w:line="360" w:lineRule="auto"/>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bl>
    <w:p w14:paraId="5295CD30">
      <w:pPr>
        <w:wordWrap w:val="0"/>
        <w:snapToGrid w:val="0"/>
        <w:spacing w:line="360" w:lineRule="auto"/>
        <w:rPr>
          <w:rFonts w:hint="eastAsia" w:ascii="仿宋" w:hAnsi="仿宋" w:eastAsia="仿宋" w:cs="仿宋"/>
          <w:bCs/>
          <w:color w:val="auto"/>
          <w:sz w:val="24"/>
          <w:highlight w:val="none"/>
        </w:rPr>
      </w:pPr>
    </w:p>
    <w:p w14:paraId="34FCBC63">
      <w:pPr>
        <w:wordWrap w:val="0"/>
        <w:snapToGrid w:val="0"/>
        <w:spacing w:line="360" w:lineRule="auto"/>
        <w:rPr>
          <w:rFonts w:hint="eastAsia" w:ascii="仿宋" w:hAnsi="仿宋" w:eastAsia="仿宋" w:cs="仿宋"/>
          <w:bCs/>
          <w:color w:val="auto"/>
          <w:sz w:val="24"/>
          <w:highlight w:val="none"/>
        </w:rPr>
      </w:pPr>
    </w:p>
    <w:p w14:paraId="20C42F5B">
      <w:pPr>
        <w:wordWrap w:val="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商务部分自评表</w:t>
      </w:r>
    </w:p>
    <w:tbl>
      <w:tblPr>
        <w:tblStyle w:val="23"/>
        <w:tblW w:w="96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2"/>
        <w:gridCol w:w="1186"/>
        <w:gridCol w:w="3317"/>
        <w:gridCol w:w="874"/>
        <w:gridCol w:w="900"/>
        <w:gridCol w:w="2193"/>
      </w:tblGrid>
      <w:tr w14:paraId="02FFA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222" w:type="dxa"/>
            <w:tcBorders>
              <w:top w:val="single" w:color="auto" w:sz="4" w:space="0"/>
              <w:left w:val="single" w:color="auto" w:sz="4" w:space="0"/>
              <w:bottom w:val="single" w:color="auto" w:sz="4" w:space="0"/>
              <w:right w:val="single" w:color="auto" w:sz="4" w:space="0"/>
            </w:tcBorders>
            <w:vAlign w:val="center"/>
          </w:tcPr>
          <w:p w14:paraId="384F580A">
            <w:pPr>
              <w:keepNext w:val="0"/>
              <w:keepLines w:val="0"/>
              <w:suppressLineNumbers w:val="0"/>
              <w:wordWrap w:val="0"/>
              <w:spacing w:before="0" w:beforeAutospacing="0" w:after="0" w:afterAutospacing="0" w:line="360" w:lineRule="auto"/>
              <w:ind w:left="374" w:leftChars="-22" w:right="-108" w:hanging="420"/>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lang w:val="en-GB"/>
              </w:rPr>
              <w:t>评审内容</w:t>
            </w:r>
          </w:p>
        </w:tc>
        <w:tc>
          <w:tcPr>
            <w:tcW w:w="1186" w:type="dxa"/>
            <w:tcBorders>
              <w:top w:val="single" w:color="auto" w:sz="4" w:space="0"/>
              <w:left w:val="single" w:color="auto" w:sz="4" w:space="0"/>
              <w:bottom w:val="single" w:color="auto" w:sz="4" w:space="0"/>
              <w:right w:val="single" w:color="auto" w:sz="4" w:space="0"/>
            </w:tcBorders>
            <w:vAlign w:val="center"/>
          </w:tcPr>
          <w:p w14:paraId="1735ACE4">
            <w:pPr>
              <w:keepNext w:val="0"/>
              <w:keepLines w:val="0"/>
              <w:suppressLineNumbers w:val="0"/>
              <w:wordWrap w:val="0"/>
              <w:spacing w:before="0" w:beforeAutospacing="0" w:after="0" w:afterAutospacing="0"/>
              <w:ind w:left="0" w:right="0"/>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rPr>
              <w:t>内容</w:t>
            </w:r>
          </w:p>
        </w:tc>
        <w:tc>
          <w:tcPr>
            <w:tcW w:w="3317" w:type="dxa"/>
            <w:tcBorders>
              <w:top w:val="single" w:color="auto" w:sz="4" w:space="0"/>
              <w:left w:val="single" w:color="auto" w:sz="4" w:space="0"/>
              <w:bottom w:val="single" w:color="auto" w:sz="4" w:space="0"/>
              <w:right w:val="single" w:color="auto" w:sz="4" w:space="0"/>
            </w:tcBorders>
            <w:vAlign w:val="center"/>
          </w:tcPr>
          <w:p w14:paraId="4E0A7388">
            <w:pPr>
              <w:keepNext w:val="0"/>
              <w:keepLines w:val="0"/>
              <w:suppressLineNumbers w:val="0"/>
              <w:wordWrap w:val="0"/>
              <w:spacing w:before="0" w:beforeAutospacing="0" w:after="0" w:afterAutospacing="0"/>
              <w:ind w:left="0" w:right="0"/>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rPr>
              <w:t>评 审 因 素</w:t>
            </w:r>
          </w:p>
        </w:tc>
        <w:tc>
          <w:tcPr>
            <w:tcW w:w="874" w:type="dxa"/>
            <w:tcBorders>
              <w:top w:val="single" w:color="auto" w:sz="4" w:space="0"/>
              <w:left w:val="single" w:color="auto" w:sz="4" w:space="0"/>
              <w:bottom w:val="single" w:color="auto" w:sz="4" w:space="0"/>
              <w:right w:val="single" w:color="auto" w:sz="4" w:space="0"/>
            </w:tcBorders>
            <w:vAlign w:val="center"/>
          </w:tcPr>
          <w:p w14:paraId="1A1BCF1C">
            <w:pPr>
              <w:keepNext w:val="0"/>
              <w:keepLines w:val="0"/>
              <w:suppressLineNumbers w:val="0"/>
              <w:wordWrap w:val="0"/>
              <w:spacing w:before="0" w:beforeAutospacing="0" w:after="0" w:afterAutospacing="0"/>
              <w:ind w:left="0" w:right="0"/>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rPr>
              <w:t>单项满分</w:t>
            </w:r>
          </w:p>
        </w:tc>
        <w:tc>
          <w:tcPr>
            <w:tcW w:w="900" w:type="dxa"/>
            <w:tcBorders>
              <w:top w:val="single" w:color="auto" w:sz="4" w:space="0"/>
              <w:left w:val="single" w:color="auto" w:sz="4" w:space="0"/>
              <w:bottom w:val="single" w:color="auto" w:sz="4" w:space="0"/>
              <w:right w:val="single" w:color="auto" w:sz="4" w:space="0"/>
            </w:tcBorders>
            <w:vAlign w:val="center"/>
          </w:tcPr>
          <w:p w14:paraId="05E55944">
            <w:pPr>
              <w:keepNext w:val="0"/>
              <w:keepLines w:val="0"/>
              <w:suppressLineNumbers w:val="0"/>
              <w:wordWrap w:val="0"/>
              <w:spacing w:before="0" w:beforeAutospacing="0" w:after="0" w:afterAutospacing="0" w:line="360" w:lineRule="auto"/>
              <w:ind w:left="0" w:right="-108"/>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lang w:val="en-GB"/>
              </w:rPr>
              <w:t>自评分</w:t>
            </w:r>
          </w:p>
        </w:tc>
        <w:tc>
          <w:tcPr>
            <w:tcW w:w="2193" w:type="dxa"/>
            <w:tcBorders>
              <w:top w:val="single" w:color="auto" w:sz="4" w:space="0"/>
              <w:left w:val="single" w:color="auto" w:sz="4" w:space="0"/>
              <w:bottom w:val="single" w:color="auto" w:sz="4" w:space="0"/>
              <w:right w:val="single" w:color="auto" w:sz="4" w:space="0"/>
            </w:tcBorders>
            <w:vAlign w:val="center"/>
          </w:tcPr>
          <w:p w14:paraId="41DB6A0F">
            <w:pPr>
              <w:keepNext w:val="0"/>
              <w:keepLines w:val="0"/>
              <w:suppressLineNumbers w:val="0"/>
              <w:wordWrap w:val="0"/>
              <w:spacing w:before="0" w:beforeAutospacing="0" w:after="0" w:afterAutospacing="0" w:line="360" w:lineRule="auto"/>
              <w:ind w:left="0" w:right="-108"/>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lang w:val="en-GB"/>
              </w:rPr>
              <w:t>证明文件</w:t>
            </w:r>
          </w:p>
        </w:tc>
      </w:tr>
      <w:tr w14:paraId="2804B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restart"/>
            <w:tcBorders>
              <w:top w:val="single" w:color="auto" w:sz="4" w:space="0"/>
              <w:left w:val="single" w:color="auto" w:sz="4" w:space="0"/>
              <w:right w:val="single" w:color="auto" w:sz="4" w:space="0"/>
            </w:tcBorders>
            <w:vAlign w:val="center"/>
          </w:tcPr>
          <w:p w14:paraId="78B28C30">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商务部分得分</w:t>
            </w:r>
          </w:p>
          <w:p w14:paraId="436D569A">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分）</w:t>
            </w:r>
          </w:p>
        </w:tc>
        <w:tc>
          <w:tcPr>
            <w:tcW w:w="1186" w:type="dxa"/>
            <w:tcBorders>
              <w:top w:val="single" w:color="auto" w:sz="4" w:space="0"/>
              <w:left w:val="single" w:color="auto" w:sz="4" w:space="0"/>
              <w:right w:val="single" w:color="auto" w:sz="4" w:space="0"/>
            </w:tcBorders>
            <w:vAlign w:val="center"/>
          </w:tcPr>
          <w:p w14:paraId="2300F787">
            <w:pPr>
              <w:keepNext w:val="0"/>
              <w:keepLines w:val="0"/>
              <w:suppressLineNumbers w:val="0"/>
              <w:wordWrap w:val="0"/>
              <w:spacing w:before="0" w:beforeAutospacing="0" w:after="0" w:afterAutospacing="0"/>
              <w:ind w:left="0" w:right="0"/>
              <w:jc w:val="center"/>
              <w:rPr>
                <w:rFonts w:hint="eastAsia" w:ascii="仿宋" w:hAnsi="仿宋" w:eastAsia="仿宋" w:cs="仿宋"/>
                <w:color w:val="auto"/>
                <w:kern w:val="0"/>
                <w:sz w:val="24"/>
                <w:highlight w:val="none"/>
              </w:rPr>
            </w:pPr>
          </w:p>
        </w:tc>
        <w:tc>
          <w:tcPr>
            <w:tcW w:w="3317" w:type="dxa"/>
            <w:tcBorders>
              <w:top w:val="single" w:color="auto" w:sz="4" w:space="0"/>
              <w:left w:val="single" w:color="auto" w:sz="4" w:space="0"/>
              <w:bottom w:val="single" w:color="auto" w:sz="4" w:space="0"/>
              <w:right w:val="single" w:color="auto" w:sz="4" w:space="0"/>
            </w:tcBorders>
            <w:vAlign w:val="center"/>
          </w:tcPr>
          <w:p w14:paraId="456A282C">
            <w:pPr>
              <w:keepNext w:val="0"/>
              <w:keepLines w:val="0"/>
              <w:suppressLineNumbers w:val="0"/>
              <w:wordWrap w:val="0"/>
              <w:spacing w:before="0" w:beforeAutospacing="0" w:after="0" w:afterAutospacing="0"/>
              <w:ind w:left="0" w:right="0"/>
              <w:rPr>
                <w:rFonts w:hint="eastAsia" w:ascii="仿宋" w:hAnsi="仿宋" w:eastAsia="仿宋" w:cs="仿宋"/>
                <w:color w:val="auto"/>
                <w:kern w:val="0"/>
                <w:sz w:val="24"/>
                <w:highlight w:val="none"/>
              </w:rPr>
            </w:pPr>
          </w:p>
        </w:tc>
        <w:tc>
          <w:tcPr>
            <w:tcW w:w="874" w:type="dxa"/>
            <w:tcBorders>
              <w:top w:val="single" w:color="auto" w:sz="4" w:space="0"/>
              <w:left w:val="single" w:color="auto" w:sz="4" w:space="0"/>
              <w:right w:val="single" w:color="auto" w:sz="4" w:space="0"/>
            </w:tcBorders>
            <w:vAlign w:val="center"/>
          </w:tcPr>
          <w:p w14:paraId="7EC88445">
            <w:pPr>
              <w:keepNext w:val="0"/>
              <w:keepLines w:val="0"/>
              <w:suppressLineNumbers w:val="0"/>
              <w:wordWrap w:val="0"/>
              <w:spacing w:before="0" w:beforeAutospacing="0" w:after="0" w:afterAutospacing="0"/>
              <w:ind w:left="0" w:right="0"/>
              <w:jc w:val="center"/>
              <w:rPr>
                <w:rFonts w:hint="eastAsia" w:ascii="仿宋" w:hAnsi="仿宋" w:eastAsia="仿宋" w:cs="仿宋"/>
                <w:color w:val="auto"/>
                <w:kern w:val="0"/>
                <w:sz w:val="24"/>
                <w:highlight w:val="none"/>
              </w:rPr>
            </w:pPr>
          </w:p>
        </w:tc>
        <w:tc>
          <w:tcPr>
            <w:tcW w:w="900" w:type="dxa"/>
            <w:tcBorders>
              <w:top w:val="single" w:color="auto" w:sz="4" w:space="0"/>
              <w:left w:val="single" w:color="auto" w:sz="4" w:space="0"/>
              <w:right w:val="single" w:color="auto" w:sz="4" w:space="0"/>
            </w:tcBorders>
            <w:vAlign w:val="center"/>
          </w:tcPr>
          <w:p w14:paraId="5065D8E8">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c>
          <w:tcPr>
            <w:tcW w:w="2193" w:type="dxa"/>
            <w:tcBorders>
              <w:top w:val="single" w:color="auto" w:sz="4" w:space="0"/>
              <w:left w:val="single" w:color="auto" w:sz="4" w:space="0"/>
              <w:right w:val="single" w:color="auto" w:sz="4" w:space="0"/>
            </w:tcBorders>
            <w:vAlign w:val="center"/>
          </w:tcPr>
          <w:p w14:paraId="04BEBF97">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0EFAB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continue"/>
            <w:tcBorders>
              <w:left w:val="single" w:color="auto" w:sz="4" w:space="0"/>
              <w:right w:val="single" w:color="auto" w:sz="4" w:space="0"/>
            </w:tcBorders>
            <w:vAlign w:val="center"/>
          </w:tcPr>
          <w:p w14:paraId="4C3F1FA0">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186" w:type="dxa"/>
            <w:tcBorders>
              <w:top w:val="single" w:color="auto" w:sz="4" w:space="0"/>
              <w:left w:val="single" w:color="auto" w:sz="4" w:space="0"/>
              <w:right w:val="single" w:color="auto" w:sz="4" w:space="0"/>
            </w:tcBorders>
            <w:vAlign w:val="center"/>
          </w:tcPr>
          <w:p w14:paraId="6DB6552A">
            <w:pPr>
              <w:keepNext w:val="0"/>
              <w:keepLines w:val="0"/>
              <w:suppressLineNumbers w:val="0"/>
              <w:wordWrap w:val="0"/>
              <w:spacing w:before="0" w:beforeAutospacing="0" w:after="0" w:afterAutospacing="0"/>
              <w:ind w:left="0" w:right="0"/>
              <w:jc w:val="center"/>
              <w:rPr>
                <w:rFonts w:hint="eastAsia" w:ascii="仿宋" w:hAnsi="仿宋" w:eastAsia="仿宋" w:cs="仿宋"/>
                <w:color w:val="auto"/>
                <w:kern w:val="0"/>
                <w:sz w:val="24"/>
                <w:highlight w:val="none"/>
              </w:rPr>
            </w:pPr>
          </w:p>
        </w:tc>
        <w:tc>
          <w:tcPr>
            <w:tcW w:w="3317" w:type="dxa"/>
            <w:tcBorders>
              <w:top w:val="single" w:color="auto" w:sz="4" w:space="0"/>
              <w:left w:val="single" w:color="auto" w:sz="4" w:space="0"/>
              <w:right w:val="single" w:color="auto" w:sz="4" w:space="0"/>
            </w:tcBorders>
            <w:vAlign w:val="center"/>
          </w:tcPr>
          <w:p w14:paraId="38123A8A">
            <w:pPr>
              <w:keepNext w:val="0"/>
              <w:keepLines w:val="0"/>
              <w:suppressLineNumbers w:val="0"/>
              <w:wordWrap w:val="0"/>
              <w:spacing w:before="0" w:beforeAutospacing="0" w:after="0" w:afterAutospacing="0"/>
              <w:ind w:left="0" w:right="0"/>
              <w:rPr>
                <w:rFonts w:hint="eastAsia" w:ascii="仿宋" w:hAnsi="仿宋" w:eastAsia="仿宋" w:cs="仿宋"/>
                <w:b/>
                <w:color w:val="auto"/>
                <w:kern w:val="0"/>
                <w:sz w:val="24"/>
                <w:highlight w:val="none"/>
              </w:rPr>
            </w:pPr>
          </w:p>
        </w:tc>
        <w:tc>
          <w:tcPr>
            <w:tcW w:w="874" w:type="dxa"/>
            <w:tcBorders>
              <w:top w:val="single" w:color="auto" w:sz="4" w:space="0"/>
              <w:left w:val="single" w:color="auto" w:sz="4" w:space="0"/>
              <w:right w:val="single" w:color="auto" w:sz="4" w:space="0"/>
            </w:tcBorders>
            <w:vAlign w:val="center"/>
          </w:tcPr>
          <w:p w14:paraId="5F88E48F">
            <w:pPr>
              <w:keepNext w:val="0"/>
              <w:keepLines w:val="0"/>
              <w:suppressLineNumbers w:val="0"/>
              <w:wordWrap w:val="0"/>
              <w:spacing w:before="0" w:beforeAutospacing="0" w:after="0" w:afterAutospacing="0"/>
              <w:ind w:left="0" w:right="0"/>
              <w:jc w:val="center"/>
              <w:rPr>
                <w:rFonts w:hint="eastAsia" w:ascii="仿宋" w:hAnsi="仿宋" w:eastAsia="仿宋" w:cs="仿宋"/>
                <w:color w:val="auto"/>
                <w:kern w:val="0"/>
                <w:sz w:val="24"/>
                <w:highlight w:val="none"/>
              </w:rPr>
            </w:pPr>
          </w:p>
        </w:tc>
        <w:tc>
          <w:tcPr>
            <w:tcW w:w="900" w:type="dxa"/>
            <w:tcBorders>
              <w:top w:val="single" w:color="auto" w:sz="4" w:space="0"/>
              <w:left w:val="single" w:color="auto" w:sz="4" w:space="0"/>
              <w:right w:val="single" w:color="auto" w:sz="4" w:space="0"/>
            </w:tcBorders>
            <w:vAlign w:val="center"/>
          </w:tcPr>
          <w:p w14:paraId="5226BAB0">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c>
          <w:tcPr>
            <w:tcW w:w="2193" w:type="dxa"/>
            <w:tcBorders>
              <w:top w:val="single" w:color="auto" w:sz="4" w:space="0"/>
              <w:left w:val="single" w:color="auto" w:sz="4" w:space="0"/>
              <w:right w:val="single" w:color="auto" w:sz="4" w:space="0"/>
            </w:tcBorders>
            <w:vAlign w:val="center"/>
          </w:tcPr>
          <w:p w14:paraId="4DEE72AB">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5C2C75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continue"/>
            <w:tcBorders>
              <w:left w:val="single" w:color="auto" w:sz="4" w:space="0"/>
              <w:right w:val="single" w:color="auto" w:sz="4" w:space="0"/>
            </w:tcBorders>
            <w:vAlign w:val="center"/>
          </w:tcPr>
          <w:p w14:paraId="3F6223F1">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186" w:type="dxa"/>
            <w:tcBorders>
              <w:top w:val="single" w:color="auto" w:sz="4" w:space="0"/>
              <w:left w:val="single" w:color="auto" w:sz="4" w:space="0"/>
              <w:right w:val="single" w:color="auto" w:sz="4" w:space="0"/>
            </w:tcBorders>
            <w:vAlign w:val="center"/>
          </w:tcPr>
          <w:p w14:paraId="2843BC61">
            <w:pPr>
              <w:keepNext w:val="0"/>
              <w:keepLines w:val="0"/>
              <w:suppressLineNumbers w:val="0"/>
              <w:wordWrap w:val="0"/>
              <w:spacing w:before="0" w:beforeAutospacing="0" w:after="0" w:afterAutospacing="0"/>
              <w:ind w:left="0" w:right="0"/>
              <w:rPr>
                <w:rFonts w:hint="eastAsia" w:ascii="仿宋" w:hAnsi="仿宋" w:eastAsia="仿宋" w:cs="仿宋"/>
                <w:color w:val="auto"/>
                <w:kern w:val="0"/>
                <w:sz w:val="24"/>
                <w:highlight w:val="none"/>
              </w:rPr>
            </w:pPr>
          </w:p>
        </w:tc>
        <w:tc>
          <w:tcPr>
            <w:tcW w:w="3317" w:type="dxa"/>
            <w:tcBorders>
              <w:top w:val="single" w:color="auto" w:sz="4" w:space="0"/>
              <w:left w:val="single" w:color="auto" w:sz="4" w:space="0"/>
              <w:right w:val="single" w:color="auto" w:sz="4" w:space="0"/>
            </w:tcBorders>
            <w:vAlign w:val="center"/>
          </w:tcPr>
          <w:p w14:paraId="4793D938">
            <w:pPr>
              <w:keepNext w:val="0"/>
              <w:keepLines w:val="0"/>
              <w:suppressLineNumbers w:val="0"/>
              <w:wordWrap w:val="0"/>
              <w:spacing w:before="0" w:beforeAutospacing="0" w:after="0" w:afterAutospacing="0"/>
              <w:ind w:left="0" w:right="0"/>
              <w:rPr>
                <w:rFonts w:hint="eastAsia" w:ascii="仿宋" w:hAnsi="仿宋" w:eastAsia="仿宋" w:cs="仿宋"/>
                <w:color w:val="auto"/>
                <w:kern w:val="0"/>
                <w:sz w:val="24"/>
                <w:highlight w:val="none"/>
              </w:rPr>
            </w:pPr>
          </w:p>
        </w:tc>
        <w:tc>
          <w:tcPr>
            <w:tcW w:w="874" w:type="dxa"/>
            <w:tcBorders>
              <w:top w:val="single" w:color="auto" w:sz="4" w:space="0"/>
              <w:left w:val="single" w:color="auto" w:sz="4" w:space="0"/>
              <w:right w:val="single" w:color="auto" w:sz="4" w:space="0"/>
            </w:tcBorders>
            <w:vAlign w:val="center"/>
          </w:tcPr>
          <w:p w14:paraId="35204C6A">
            <w:pPr>
              <w:keepNext w:val="0"/>
              <w:keepLines w:val="0"/>
              <w:suppressLineNumbers w:val="0"/>
              <w:wordWrap w:val="0"/>
              <w:spacing w:before="0" w:beforeAutospacing="0" w:after="0" w:afterAutospacing="0"/>
              <w:ind w:left="0" w:right="0"/>
              <w:jc w:val="center"/>
              <w:rPr>
                <w:rFonts w:hint="eastAsia" w:ascii="仿宋" w:hAnsi="仿宋" w:eastAsia="仿宋" w:cs="仿宋"/>
                <w:color w:val="auto"/>
                <w:kern w:val="0"/>
                <w:sz w:val="24"/>
                <w:highlight w:val="none"/>
              </w:rPr>
            </w:pPr>
          </w:p>
        </w:tc>
        <w:tc>
          <w:tcPr>
            <w:tcW w:w="900" w:type="dxa"/>
            <w:tcBorders>
              <w:top w:val="single" w:color="auto" w:sz="4" w:space="0"/>
              <w:left w:val="single" w:color="auto" w:sz="4" w:space="0"/>
              <w:right w:val="single" w:color="auto" w:sz="4" w:space="0"/>
            </w:tcBorders>
            <w:vAlign w:val="center"/>
          </w:tcPr>
          <w:p w14:paraId="4DF7CA5B">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c>
          <w:tcPr>
            <w:tcW w:w="2193" w:type="dxa"/>
            <w:tcBorders>
              <w:top w:val="single" w:color="auto" w:sz="4" w:space="0"/>
              <w:left w:val="single" w:color="auto" w:sz="4" w:space="0"/>
              <w:right w:val="single" w:color="auto" w:sz="4" w:space="0"/>
            </w:tcBorders>
            <w:vAlign w:val="center"/>
          </w:tcPr>
          <w:p w14:paraId="0728CB7B">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6E146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continue"/>
            <w:tcBorders>
              <w:left w:val="single" w:color="auto" w:sz="4" w:space="0"/>
              <w:right w:val="single" w:color="auto" w:sz="4" w:space="0"/>
            </w:tcBorders>
            <w:vAlign w:val="center"/>
          </w:tcPr>
          <w:p w14:paraId="06CF77A5">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69E69528">
            <w:pPr>
              <w:keepNext w:val="0"/>
              <w:keepLines w:val="0"/>
              <w:suppressLineNumbers w:val="0"/>
              <w:wordWrap w:val="0"/>
              <w:spacing w:before="0" w:beforeAutospacing="0" w:after="0" w:afterAutospacing="0"/>
              <w:ind w:left="0" w:right="0"/>
              <w:rPr>
                <w:rFonts w:hint="eastAsia" w:ascii="仿宋" w:hAnsi="仿宋" w:eastAsia="仿宋" w:cs="仿宋"/>
                <w:color w:val="auto"/>
                <w:kern w:val="0"/>
                <w:sz w:val="24"/>
                <w:highlight w:val="none"/>
              </w:rPr>
            </w:pPr>
          </w:p>
        </w:tc>
        <w:tc>
          <w:tcPr>
            <w:tcW w:w="3317" w:type="dxa"/>
            <w:tcBorders>
              <w:top w:val="single" w:color="auto" w:sz="4" w:space="0"/>
              <w:left w:val="single" w:color="auto" w:sz="4" w:space="0"/>
              <w:bottom w:val="single" w:color="auto" w:sz="4" w:space="0"/>
              <w:right w:val="single" w:color="auto" w:sz="4" w:space="0"/>
            </w:tcBorders>
            <w:vAlign w:val="center"/>
          </w:tcPr>
          <w:p w14:paraId="53041C35">
            <w:pPr>
              <w:keepNext w:val="0"/>
              <w:keepLines w:val="0"/>
              <w:suppressLineNumbers w:val="0"/>
              <w:wordWrap w:val="0"/>
              <w:spacing w:before="0" w:beforeAutospacing="0" w:after="0" w:afterAutospacing="0"/>
              <w:ind w:left="0" w:right="0"/>
              <w:rPr>
                <w:rFonts w:hint="eastAsia" w:ascii="仿宋" w:hAnsi="仿宋" w:eastAsia="仿宋" w:cs="仿宋"/>
                <w:color w:val="auto"/>
                <w:sz w:val="24"/>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14:paraId="2B1D0A65">
            <w:pPr>
              <w:keepNext w:val="0"/>
              <w:keepLines w:val="0"/>
              <w:suppressLineNumbers w:val="0"/>
              <w:wordWrap w:val="0"/>
              <w:spacing w:before="0" w:beforeAutospacing="0" w:after="0" w:afterAutospacing="0"/>
              <w:ind w:left="0" w:right="0"/>
              <w:jc w:val="center"/>
              <w:rPr>
                <w:rFonts w:hint="eastAsia" w:ascii="仿宋" w:hAnsi="仿宋" w:eastAsia="仿宋" w:cs="仿宋"/>
                <w:color w:val="auto"/>
                <w:kern w:val="0"/>
                <w:sz w:val="24"/>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99705EE">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c>
          <w:tcPr>
            <w:tcW w:w="2193" w:type="dxa"/>
            <w:tcBorders>
              <w:top w:val="single" w:color="auto" w:sz="4" w:space="0"/>
              <w:left w:val="single" w:color="auto" w:sz="4" w:space="0"/>
              <w:bottom w:val="single" w:color="auto" w:sz="4" w:space="0"/>
              <w:right w:val="single" w:color="auto" w:sz="4" w:space="0"/>
            </w:tcBorders>
            <w:vAlign w:val="center"/>
          </w:tcPr>
          <w:p w14:paraId="3B0CD751">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36EB2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continue"/>
            <w:tcBorders>
              <w:left w:val="single" w:color="auto" w:sz="4" w:space="0"/>
              <w:right w:val="single" w:color="auto" w:sz="4" w:space="0"/>
            </w:tcBorders>
            <w:vAlign w:val="center"/>
          </w:tcPr>
          <w:p w14:paraId="5FB4FA73">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58A9156E">
            <w:pPr>
              <w:keepNext w:val="0"/>
              <w:keepLines w:val="0"/>
              <w:suppressLineNumbers w:val="0"/>
              <w:wordWrap w:val="0"/>
              <w:snapToGrid w:val="0"/>
              <w:spacing w:before="0" w:beforeAutospacing="0" w:after="156" w:afterAutospacing="0"/>
              <w:ind w:left="0" w:right="0"/>
              <w:rPr>
                <w:rFonts w:hint="eastAsia" w:ascii="仿宋" w:hAnsi="仿宋" w:eastAsia="仿宋" w:cs="仿宋"/>
                <w:color w:val="auto"/>
                <w:sz w:val="24"/>
                <w:highlight w:val="none"/>
              </w:rPr>
            </w:pPr>
          </w:p>
        </w:tc>
        <w:tc>
          <w:tcPr>
            <w:tcW w:w="3317" w:type="dxa"/>
            <w:tcBorders>
              <w:top w:val="single" w:color="auto" w:sz="4" w:space="0"/>
              <w:left w:val="single" w:color="auto" w:sz="4" w:space="0"/>
              <w:bottom w:val="single" w:color="auto" w:sz="4" w:space="0"/>
              <w:right w:val="single" w:color="auto" w:sz="4" w:space="0"/>
            </w:tcBorders>
            <w:vAlign w:val="center"/>
          </w:tcPr>
          <w:p w14:paraId="5E06C271">
            <w:pPr>
              <w:keepNext w:val="0"/>
              <w:keepLines w:val="0"/>
              <w:suppressLineNumbers w:val="0"/>
              <w:wordWrap w:val="0"/>
              <w:snapToGrid w:val="0"/>
              <w:spacing w:before="0" w:beforeAutospacing="0" w:after="156" w:afterAutospacing="0"/>
              <w:ind w:left="0" w:right="0"/>
              <w:rPr>
                <w:rFonts w:hint="eastAsia" w:ascii="仿宋" w:hAnsi="仿宋" w:eastAsia="仿宋" w:cs="仿宋"/>
                <w:color w:val="auto"/>
                <w:sz w:val="24"/>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14:paraId="26451ED3">
            <w:pPr>
              <w:keepNext w:val="0"/>
              <w:keepLines w:val="0"/>
              <w:suppressLineNumbers w:val="0"/>
              <w:wordWrap w:val="0"/>
              <w:spacing w:before="0" w:beforeAutospacing="0" w:after="0" w:afterAutospacing="0"/>
              <w:ind w:left="0" w:right="0"/>
              <w:jc w:val="center"/>
              <w:rPr>
                <w:rFonts w:hint="eastAsia" w:ascii="仿宋" w:hAnsi="仿宋" w:eastAsia="仿宋" w:cs="仿宋"/>
                <w:color w:val="auto"/>
                <w:kern w:val="0"/>
                <w:sz w:val="24"/>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1000921">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c>
          <w:tcPr>
            <w:tcW w:w="2193" w:type="dxa"/>
            <w:tcBorders>
              <w:top w:val="single" w:color="auto" w:sz="4" w:space="0"/>
              <w:left w:val="single" w:color="auto" w:sz="4" w:space="0"/>
              <w:bottom w:val="single" w:color="auto" w:sz="4" w:space="0"/>
              <w:right w:val="single" w:color="auto" w:sz="4" w:space="0"/>
            </w:tcBorders>
            <w:vAlign w:val="center"/>
          </w:tcPr>
          <w:p w14:paraId="04776BE8">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bl>
    <w:p w14:paraId="42082AAF">
      <w:pPr>
        <w:wordWrap w:val="0"/>
        <w:rPr>
          <w:rFonts w:hint="eastAsia" w:ascii="仿宋" w:hAnsi="仿宋" w:eastAsia="仿宋" w:cs="仿宋"/>
          <w:color w:val="auto"/>
          <w:sz w:val="24"/>
          <w:highlight w:val="none"/>
        </w:rPr>
      </w:pPr>
    </w:p>
    <w:p w14:paraId="1CA63D61">
      <w:pPr>
        <w:wordWrap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以上自评表可根据《</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部分评分标准》《商务部分评分标准》内容自行填写，自行评价，仅为方便评委查阅，不作为实质性响应条款。</w:t>
      </w:r>
    </w:p>
    <w:p w14:paraId="6275F86F">
      <w:pPr>
        <w:wordWrap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lang w:eastAsia="zh-CN"/>
        </w:rPr>
        <w:t>投标人</w:t>
      </w:r>
      <w:r>
        <w:rPr>
          <w:rFonts w:hint="eastAsia" w:ascii="仿宋" w:hAnsi="仿宋" w:eastAsia="仿宋" w:cs="仿宋"/>
          <w:b/>
          <w:color w:val="auto"/>
          <w:sz w:val="28"/>
          <w:szCs w:val="28"/>
          <w:highlight w:val="none"/>
        </w:rPr>
        <w:t>情况介绍表</w:t>
      </w:r>
    </w:p>
    <w:p w14:paraId="177D0941">
      <w:pPr>
        <w:pStyle w:val="67"/>
        <w:wordWrap w:val="0"/>
        <w:adjustRightInd w:val="0"/>
        <w:snapToGrid w:val="0"/>
        <w:ind w:left="105" w:hanging="1"/>
        <w:jc w:val="both"/>
        <w:rPr>
          <w:rFonts w:hint="eastAsia" w:ascii="仿宋" w:hAnsi="仿宋" w:eastAsia="仿宋" w:cs="仿宋"/>
          <w:b/>
          <w:color w:val="auto"/>
          <w:spacing w:val="0"/>
          <w:kern w:val="2"/>
          <w:sz w:val="28"/>
          <w:szCs w:val="28"/>
          <w:highlight w:val="none"/>
          <w:lang w:val="en-GB"/>
        </w:rPr>
      </w:pPr>
    </w:p>
    <w:tbl>
      <w:tblPr>
        <w:tblStyle w:val="23"/>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163"/>
        <w:gridCol w:w="1145"/>
        <w:gridCol w:w="542"/>
        <w:gridCol w:w="726"/>
        <w:gridCol w:w="627"/>
        <w:gridCol w:w="633"/>
        <w:gridCol w:w="472"/>
        <w:gridCol w:w="608"/>
        <w:gridCol w:w="1192"/>
      </w:tblGrid>
      <w:tr w14:paraId="018D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998" w:type="dxa"/>
            <w:vAlign w:val="center"/>
          </w:tcPr>
          <w:p w14:paraId="6B3E45AA">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单位名称</w:t>
            </w:r>
          </w:p>
        </w:tc>
        <w:tc>
          <w:tcPr>
            <w:tcW w:w="7108" w:type="dxa"/>
            <w:gridSpan w:val="9"/>
            <w:vAlign w:val="center"/>
          </w:tcPr>
          <w:p w14:paraId="5143B769">
            <w:pPr>
              <w:keepNext w:val="0"/>
              <w:keepLines w:val="0"/>
              <w:suppressLineNumbers w:val="0"/>
              <w:tabs>
                <w:tab w:val="left" w:pos="540"/>
              </w:tabs>
              <w:wordWrap w:val="0"/>
              <w:adjustRightInd w:val="0"/>
              <w:snapToGrid w:val="0"/>
              <w:spacing w:before="0" w:beforeAutospacing="0" w:after="0" w:afterAutospacing="0" w:line="360" w:lineRule="auto"/>
              <w:ind w:left="-132" w:leftChars="-64" w:right="-105" w:rightChars="-50" w:hanging="2"/>
              <w:textAlignment w:val="center"/>
              <w:rPr>
                <w:rFonts w:hint="eastAsia" w:ascii="仿宋" w:hAnsi="仿宋" w:eastAsia="仿宋" w:cs="仿宋"/>
                <w:snapToGrid w:val="0"/>
                <w:color w:val="auto"/>
                <w:sz w:val="22"/>
                <w:szCs w:val="22"/>
                <w:highlight w:val="none"/>
              </w:rPr>
            </w:pPr>
          </w:p>
        </w:tc>
      </w:tr>
      <w:tr w14:paraId="2EFE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98" w:type="dxa"/>
            <w:vAlign w:val="center"/>
          </w:tcPr>
          <w:p w14:paraId="3C9672FA">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地址</w:t>
            </w:r>
          </w:p>
        </w:tc>
        <w:tc>
          <w:tcPr>
            <w:tcW w:w="7108" w:type="dxa"/>
            <w:gridSpan w:val="9"/>
            <w:vAlign w:val="center"/>
          </w:tcPr>
          <w:p w14:paraId="352F069A">
            <w:pPr>
              <w:keepNext w:val="0"/>
              <w:keepLines w:val="0"/>
              <w:suppressLineNumbers w:val="0"/>
              <w:tabs>
                <w:tab w:val="left" w:pos="540"/>
              </w:tabs>
              <w:wordWrap w:val="0"/>
              <w:adjustRightInd w:val="0"/>
              <w:snapToGrid w:val="0"/>
              <w:spacing w:before="0" w:beforeAutospacing="0" w:after="0" w:afterAutospacing="0" w:line="360" w:lineRule="auto"/>
              <w:ind w:left="-132" w:leftChars="-64" w:right="-105" w:rightChars="-50" w:hanging="2"/>
              <w:textAlignment w:val="center"/>
              <w:rPr>
                <w:rFonts w:hint="eastAsia" w:ascii="仿宋" w:hAnsi="仿宋" w:eastAsia="仿宋" w:cs="仿宋"/>
                <w:snapToGrid w:val="0"/>
                <w:color w:val="auto"/>
                <w:sz w:val="22"/>
                <w:szCs w:val="22"/>
                <w:highlight w:val="none"/>
              </w:rPr>
            </w:pPr>
          </w:p>
        </w:tc>
      </w:tr>
      <w:tr w14:paraId="1FBD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998" w:type="dxa"/>
            <w:vAlign w:val="center"/>
          </w:tcPr>
          <w:p w14:paraId="3D9D2653">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开户银行</w:t>
            </w:r>
          </w:p>
        </w:tc>
        <w:tc>
          <w:tcPr>
            <w:tcW w:w="7108" w:type="dxa"/>
            <w:gridSpan w:val="9"/>
            <w:vAlign w:val="center"/>
          </w:tcPr>
          <w:p w14:paraId="2E697F2D">
            <w:pPr>
              <w:keepNext w:val="0"/>
              <w:keepLines w:val="0"/>
              <w:suppressLineNumbers w:val="0"/>
              <w:tabs>
                <w:tab w:val="left" w:pos="540"/>
              </w:tabs>
              <w:wordWrap w:val="0"/>
              <w:adjustRightInd w:val="0"/>
              <w:snapToGrid w:val="0"/>
              <w:spacing w:before="0" w:beforeAutospacing="0" w:after="0" w:afterAutospacing="0" w:line="360" w:lineRule="auto"/>
              <w:ind w:left="-132" w:leftChars="-64" w:right="-105" w:rightChars="-50" w:hanging="2"/>
              <w:textAlignment w:val="center"/>
              <w:rPr>
                <w:rFonts w:hint="eastAsia" w:ascii="仿宋" w:hAnsi="仿宋" w:eastAsia="仿宋" w:cs="仿宋"/>
                <w:snapToGrid w:val="0"/>
                <w:color w:val="auto"/>
                <w:sz w:val="22"/>
                <w:szCs w:val="22"/>
                <w:highlight w:val="none"/>
              </w:rPr>
            </w:pPr>
          </w:p>
        </w:tc>
      </w:tr>
      <w:tr w14:paraId="5329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998" w:type="dxa"/>
            <w:vAlign w:val="center"/>
          </w:tcPr>
          <w:p w14:paraId="526DEE94">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银行账户</w:t>
            </w:r>
          </w:p>
        </w:tc>
        <w:tc>
          <w:tcPr>
            <w:tcW w:w="7108" w:type="dxa"/>
            <w:gridSpan w:val="9"/>
            <w:vAlign w:val="center"/>
          </w:tcPr>
          <w:p w14:paraId="22FAE975">
            <w:pPr>
              <w:keepNext w:val="0"/>
              <w:keepLines w:val="0"/>
              <w:suppressLineNumbers w:val="0"/>
              <w:tabs>
                <w:tab w:val="left" w:pos="540"/>
              </w:tabs>
              <w:wordWrap w:val="0"/>
              <w:adjustRightInd w:val="0"/>
              <w:snapToGrid w:val="0"/>
              <w:spacing w:before="0" w:beforeAutospacing="0" w:after="0" w:afterAutospacing="0" w:line="360" w:lineRule="auto"/>
              <w:ind w:left="-132" w:leftChars="-64" w:right="-105" w:rightChars="-50" w:hanging="2"/>
              <w:textAlignment w:val="center"/>
              <w:rPr>
                <w:rFonts w:hint="eastAsia" w:ascii="仿宋" w:hAnsi="仿宋" w:eastAsia="仿宋" w:cs="仿宋"/>
                <w:snapToGrid w:val="0"/>
                <w:color w:val="auto"/>
                <w:sz w:val="22"/>
                <w:szCs w:val="22"/>
                <w:highlight w:val="none"/>
              </w:rPr>
            </w:pPr>
          </w:p>
        </w:tc>
      </w:tr>
      <w:tr w14:paraId="1BA6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vAlign w:val="center"/>
          </w:tcPr>
          <w:p w14:paraId="00D143D9">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b/>
                <w:snapToGrid w:val="0"/>
                <w:color w:val="auto"/>
                <w:sz w:val="22"/>
                <w:szCs w:val="22"/>
                <w:highlight w:val="none"/>
              </w:rPr>
            </w:pPr>
            <w:r>
              <w:rPr>
                <w:rFonts w:hint="eastAsia" w:ascii="仿宋" w:hAnsi="仿宋" w:eastAsia="仿宋" w:cs="仿宋"/>
                <w:snapToGrid w:val="0"/>
                <w:color w:val="auto"/>
                <w:sz w:val="22"/>
                <w:szCs w:val="22"/>
                <w:highlight w:val="none"/>
              </w:rPr>
              <w:t>纳税人识别号</w:t>
            </w:r>
          </w:p>
        </w:tc>
        <w:tc>
          <w:tcPr>
            <w:tcW w:w="7108" w:type="dxa"/>
            <w:gridSpan w:val="9"/>
            <w:vAlign w:val="center"/>
          </w:tcPr>
          <w:p w14:paraId="295D2B8C">
            <w:pPr>
              <w:keepNext w:val="0"/>
              <w:keepLines w:val="0"/>
              <w:suppressLineNumbers w:val="0"/>
              <w:tabs>
                <w:tab w:val="left" w:pos="540"/>
              </w:tabs>
              <w:wordWrap w:val="0"/>
              <w:adjustRightInd w:val="0"/>
              <w:snapToGrid w:val="0"/>
              <w:spacing w:before="0" w:beforeAutospacing="0" w:after="0" w:afterAutospacing="0" w:line="360" w:lineRule="auto"/>
              <w:ind w:left="-132" w:leftChars="-64" w:right="-105" w:rightChars="-50" w:hanging="2"/>
              <w:textAlignment w:val="center"/>
              <w:rPr>
                <w:rFonts w:hint="eastAsia" w:ascii="仿宋" w:hAnsi="仿宋" w:eastAsia="仿宋" w:cs="仿宋"/>
                <w:snapToGrid w:val="0"/>
                <w:color w:val="auto"/>
                <w:sz w:val="22"/>
                <w:szCs w:val="22"/>
                <w:highlight w:val="none"/>
              </w:rPr>
            </w:pPr>
          </w:p>
        </w:tc>
      </w:tr>
      <w:tr w14:paraId="6539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998" w:type="dxa"/>
            <w:vAlign w:val="center"/>
          </w:tcPr>
          <w:p w14:paraId="6179F7C6">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主管部门</w:t>
            </w:r>
          </w:p>
        </w:tc>
        <w:tc>
          <w:tcPr>
            <w:tcW w:w="1163" w:type="dxa"/>
            <w:vAlign w:val="center"/>
          </w:tcPr>
          <w:p w14:paraId="65702427">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c>
          <w:tcPr>
            <w:tcW w:w="1687" w:type="dxa"/>
            <w:gridSpan w:val="2"/>
            <w:vAlign w:val="center"/>
          </w:tcPr>
          <w:p w14:paraId="688CC2C5">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法定代表人</w:t>
            </w:r>
          </w:p>
        </w:tc>
        <w:tc>
          <w:tcPr>
            <w:tcW w:w="1353" w:type="dxa"/>
            <w:gridSpan w:val="2"/>
            <w:vAlign w:val="center"/>
          </w:tcPr>
          <w:p w14:paraId="51AB5150">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c>
          <w:tcPr>
            <w:tcW w:w="1105" w:type="dxa"/>
            <w:gridSpan w:val="2"/>
            <w:vAlign w:val="center"/>
          </w:tcPr>
          <w:p w14:paraId="234374E0">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职务</w:t>
            </w:r>
          </w:p>
        </w:tc>
        <w:tc>
          <w:tcPr>
            <w:tcW w:w="1800" w:type="dxa"/>
            <w:gridSpan w:val="2"/>
            <w:vAlign w:val="center"/>
          </w:tcPr>
          <w:p w14:paraId="3040EC8F">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r>
      <w:tr w14:paraId="2842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998" w:type="dxa"/>
            <w:vAlign w:val="center"/>
          </w:tcPr>
          <w:p w14:paraId="70623C70">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经济类型</w:t>
            </w:r>
          </w:p>
        </w:tc>
        <w:tc>
          <w:tcPr>
            <w:tcW w:w="1163" w:type="dxa"/>
            <w:vAlign w:val="center"/>
          </w:tcPr>
          <w:p w14:paraId="18C923C8">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c>
          <w:tcPr>
            <w:tcW w:w="1687" w:type="dxa"/>
            <w:gridSpan w:val="2"/>
            <w:vAlign w:val="center"/>
          </w:tcPr>
          <w:p w14:paraId="05373A3D">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授权代表</w:t>
            </w:r>
          </w:p>
        </w:tc>
        <w:tc>
          <w:tcPr>
            <w:tcW w:w="1353" w:type="dxa"/>
            <w:gridSpan w:val="2"/>
            <w:vAlign w:val="center"/>
          </w:tcPr>
          <w:p w14:paraId="67C5AE96">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c>
          <w:tcPr>
            <w:tcW w:w="1105" w:type="dxa"/>
            <w:gridSpan w:val="2"/>
            <w:vAlign w:val="center"/>
          </w:tcPr>
          <w:p w14:paraId="3E02B20E">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职务</w:t>
            </w:r>
          </w:p>
        </w:tc>
        <w:tc>
          <w:tcPr>
            <w:tcW w:w="1800" w:type="dxa"/>
            <w:gridSpan w:val="2"/>
            <w:vAlign w:val="center"/>
          </w:tcPr>
          <w:p w14:paraId="49B949EF">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r>
      <w:tr w14:paraId="33C5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998" w:type="dxa"/>
            <w:vAlign w:val="center"/>
          </w:tcPr>
          <w:p w14:paraId="5E7B65B8">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邮编</w:t>
            </w:r>
          </w:p>
        </w:tc>
        <w:tc>
          <w:tcPr>
            <w:tcW w:w="1163" w:type="dxa"/>
            <w:vAlign w:val="center"/>
          </w:tcPr>
          <w:p w14:paraId="2E5ED9AC">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c>
          <w:tcPr>
            <w:tcW w:w="1687" w:type="dxa"/>
            <w:gridSpan w:val="2"/>
            <w:vAlign w:val="center"/>
          </w:tcPr>
          <w:p w14:paraId="16020707">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电话</w:t>
            </w:r>
          </w:p>
        </w:tc>
        <w:tc>
          <w:tcPr>
            <w:tcW w:w="1353" w:type="dxa"/>
            <w:gridSpan w:val="2"/>
            <w:vAlign w:val="center"/>
          </w:tcPr>
          <w:p w14:paraId="7A48F02F">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c>
          <w:tcPr>
            <w:tcW w:w="1105" w:type="dxa"/>
            <w:gridSpan w:val="2"/>
            <w:vAlign w:val="center"/>
          </w:tcPr>
          <w:p w14:paraId="7F5381B7">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传真</w:t>
            </w:r>
          </w:p>
        </w:tc>
        <w:tc>
          <w:tcPr>
            <w:tcW w:w="1800" w:type="dxa"/>
            <w:gridSpan w:val="2"/>
            <w:vAlign w:val="center"/>
          </w:tcPr>
          <w:p w14:paraId="1CA2CF4C">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r>
      <w:tr w14:paraId="5ED7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98" w:type="dxa"/>
            <w:vAlign w:val="center"/>
          </w:tcPr>
          <w:p w14:paraId="42F47653">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单位简介及机构设置</w:t>
            </w:r>
          </w:p>
        </w:tc>
        <w:tc>
          <w:tcPr>
            <w:tcW w:w="7108" w:type="dxa"/>
            <w:gridSpan w:val="9"/>
            <w:vAlign w:val="center"/>
          </w:tcPr>
          <w:p w14:paraId="790A3A24">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r>
      <w:tr w14:paraId="05F1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98" w:type="dxa"/>
            <w:vAlign w:val="center"/>
          </w:tcPr>
          <w:p w14:paraId="4416B96A">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单位优势及特长</w:t>
            </w:r>
          </w:p>
        </w:tc>
        <w:tc>
          <w:tcPr>
            <w:tcW w:w="7108" w:type="dxa"/>
            <w:gridSpan w:val="9"/>
            <w:vAlign w:val="center"/>
          </w:tcPr>
          <w:p w14:paraId="2ACA6B91">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r>
      <w:tr w14:paraId="1C84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98" w:type="dxa"/>
            <w:vMerge w:val="restart"/>
            <w:vAlign w:val="center"/>
          </w:tcPr>
          <w:p w14:paraId="1BCE56F7">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单位概况</w:t>
            </w:r>
          </w:p>
        </w:tc>
        <w:tc>
          <w:tcPr>
            <w:tcW w:w="1163" w:type="dxa"/>
            <w:vAlign w:val="center"/>
          </w:tcPr>
          <w:p w14:paraId="245C6354">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注册资本</w:t>
            </w:r>
          </w:p>
        </w:tc>
        <w:tc>
          <w:tcPr>
            <w:tcW w:w="1145" w:type="dxa"/>
            <w:vAlign w:val="center"/>
          </w:tcPr>
          <w:p w14:paraId="79CA193B">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万元</w:t>
            </w:r>
          </w:p>
        </w:tc>
        <w:tc>
          <w:tcPr>
            <w:tcW w:w="1268" w:type="dxa"/>
            <w:gridSpan w:val="2"/>
            <w:vAlign w:val="center"/>
          </w:tcPr>
          <w:p w14:paraId="060CB9BE">
            <w:pPr>
              <w:keepNext w:val="0"/>
              <w:keepLines w:val="0"/>
              <w:suppressLineNumbers w:val="0"/>
              <w:tabs>
                <w:tab w:val="left" w:pos="540"/>
              </w:tabs>
              <w:wordWrap w:val="0"/>
              <w:adjustRightInd w:val="0"/>
              <w:snapToGrid w:val="0"/>
              <w:spacing w:before="0" w:beforeAutospacing="0" w:after="0" w:afterAutospacing="0"/>
              <w:ind w:left="-134" w:leftChars="-64" w:right="-105" w:rightChars="-50" w:firstLine="36"/>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占地面积</w:t>
            </w:r>
          </w:p>
        </w:tc>
        <w:tc>
          <w:tcPr>
            <w:tcW w:w="3532" w:type="dxa"/>
            <w:gridSpan w:val="5"/>
            <w:vAlign w:val="center"/>
          </w:tcPr>
          <w:p w14:paraId="42D51AEE">
            <w:pPr>
              <w:keepNext w:val="0"/>
              <w:keepLines w:val="0"/>
              <w:suppressLineNumbers w:val="0"/>
              <w:tabs>
                <w:tab w:val="left" w:pos="540"/>
              </w:tabs>
              <w:wordWrap w:val="0"/>
              <w:adjustRightInd w:val="0"/>
              <w:snapToGrid w:val="0"/>
              <w:spacing w:before="0" w:beforeAutospacing="0" w:after="0" w:afterAutospacing="0"/>
              <w:ind w:left="-134" w:leftChars="-64" w:right="-105" w:rightChars="-50" w:firstLine="3190" w:firstLineChars="1450"/>
              <w:jc w:val="center"/>
              <w:textAlignment w:val="center"/>
              <w:rPr>
                <w:rFonts w:hint="eastAsia" w:ascii="仿宋" w:hAnsi="仿宋" w:eastAsia="仿宋" w:cs="仿宋"/>
                <w:snapToGrid w:val="0"/>
                <w:color w:val="auto"/>
                <w:sz w:val="22"/>
                <w:szCs w:val="22"/>
                <w:highlight w:val="none"/>
              </w:rPr>
            </w:pPr>
          </w:p>
        </w:tc>
      </w:tr>
      <w:tr w14:paraId="171D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98" w:type="dxa"/>
            <w:vMerge w:val="continue"/>
            <w:vAlign w:val="center"/>
          </w:tcPr>
          <w:p w14:paraId="0E5E1F2F">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p>
        </w:tc>
        <w:tc>
          <w:tcPr>
            <w:tcW w:w="1163" w:type="dxa"/>
            <w:vAlign w:val="center"/>
          </w:tcPr>
          <w:p w14:paraId="2C828D66">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职工总数</w:t>
            </w:r>
          </w:p>
        </w:tc>
        <w:tc>
          <w:tcPr>
            <w:tcW w:w="1145" w:type="dxa"/>
            <w:vAlign w:val="center"/>
          </w:tcPr>
          <w:p w14:paraId="596DD767">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人</w:t>
            </w:r>
          </w:p>
        </w:tc>
        <w:tc>
          <w:tcPr>
            <w:tcW w:w="1268" w:type="dxa"/>
            <w:gridSpan w:val="2"/>
            <w:vAlign w:val="center"/>
          </w:tcPr>
          <w:p w14:paraId="5B8532A1">
            <w:pPr>
              <w:keepNext w:val="0"/>
              <w:keepLines w:val="0"/>
              <w:suppressLineNumbers w:val="0"/>
              <w:tabs>
                <w:tab w:val="left" w:pos="540"/>
              </w:tabs>
              <w:wordWrap w:val="0"/>
              <w:adjustRightInd w:val="0"/>
              <w:snapToGrid w:val="0"/>
              <w:spacing w:before="0" w:beforeAutospacing="0" w:after="0" w:afterAutospacing="0"/>
              <w:ind w:left="-134" w:leftChars="-64" w:right="-105" w:rightChars="-50" w:firstLine="36"/>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建筑面积</w:t>
            </w:r>
          </w:p>
        </w:tc>
        <w:tc>
          <w:tcPr>
            <w:tcW w:w="3532" w:type="dxa"/>
            <w:gridSpan w:val="5"/>
            <w:vAlign w:val="center"/>
          </w:tcPr>
          <w:p w14:paraId="7119120A">
            <w:pPr>
              <w:keepNext w:val="0"/>
              <w:keepLines w:val="0"/>
              <w:suppressLineNumbers w:val="0"/>
              <w:tabs>
                <w:tab w:val="left" w:pos="540"/>
              </w:tabs>
              <w:wordWrap w:val="0"/>
              <w:adjustRightInd w:val="0"/>
              <w:snapToGrid w:val="0"/>
              <w:spacing w:before="0" w:beforeAutospacing="0" w:after="0" w:afterAutospacing="0"/>
              <w:ind w:left="-134" w:leftChars="-64" w:right="-105" w:rightChars="-50" w:firstLine="3190" w:firstLineChars="1450"/>
              <w:jc w:val="center"/>
              <w:textAlignment w:val="center"/>
              <w:rPr>
                <w:rFonts w:hint="eastAsia" w:ascii="仿宋" w:hAnsi="仿宋" w:eastAsia="仿宋" w:cs="仿宋"/>
                <w:snapToGrid w:val="0"/>
                <w:color w:val="auto"/>
                <w:sz w:val="22"/>
                <w:szCs w:val="22"/>
                <w:highlight w:val="none"/>
              </w:rPr>
            </w:pPr>
          </w:p>
        </w:tc>
      </w:tr>
      <w:tr w14:paraId="5D13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998" w:type="dxa"/>
            <w:vMerge w:val="continue"/>
            <w:vAlign w:val="center"/>
          </w:tcPr>
          <w:p w14:paraId="03DC019F">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p>
        </w:tc>
        <w:tc>
          <w:tcPr>
            <w:tcW w:w="1163" w:type="dxa"/>
            <w:vMerge w:val="restart"/>
            <w:vAlign w:val="center"/>
          </w:tcPr>
          <w:p w14:paraId="63C0EE69">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资产情况</w:t>
            </w:r>
          </w:p>
        </w:tc>
        <w:tc>
          <w:tcPr>
            <w:tcW w:w="1145" w:type="dxa"/>
            <w:vAlign w:val="center"/>
          </w:tcPr>
          <w:p w14:paraId="3CBD37E3">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净资产</w:t>
            </w:r>
          </w:p>
        </w:tc>
        <w:tc>
          <w:tcPr>
            <w:tcW w:w="1268" w:type="dxa"/>
            <w:gridSpan w:val="2"/>
            <w:vAlign w:val="center"/>
          </w:tcPr>
          <w:p w14:paraId="2D4A5D67">
            <w:pPr>
              <w:keepNext w:val="0"/>
              <w:keepLines w:val="0"/>
              <w:suppressLineNumbers w:val="0"/>
              <w:tabs>
                <w:tab w:val="left" w:pos="540"/>
              </w:tabs>
              <w:wordWrap w:val="0"/>
              <w:adjustRightInd w:val="0"/>
              <w:snapToGrid w:val="0"/>
              <w:spacing w:before="0" w:beforeAutospacing="0" w:after="0" w:afterAutospacing="0"/>
              <w:ind w:left="-134" w:leftChars="-64" w:right="-105" w:rightChars="-50" w:firstLine="807" w:firstLineChars="367"/>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万元</w:t>
            </w:r>
          </w:p>
        </w:tc>
        <w:tc>
          <w:tcPr>
            <w:tcW w:w="3532" w:type="dxa"/>
            <w:gridSpan w:val="5"/>
            <w:vAlign w:val="center"/>
          </w:tcPr>
          <w:p w14:paraId="2655CF94">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固定资产原值           万元</w:t>
            </w:r>
          </w:p>
        </w:tc>
      </w:tr>
      <w:tr w14:paraId="49FD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98" w:type="dxa"/>
            <w:vMerge w:val="continue"/>
            <w:vAlign w:val="center"/>
          </w:tcPr>
          <w:p w14:paraId="3311514A">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p>
        </w:tc>
        <w:tc>
          <w:tcPr>
            <w:tcW w:w="1163" w:type="dxa"/>
            <w:vMerge w:val="continue"/>
            <w:vAlign w:val="center"/>
          </w:tcPr>
          <w:p w14:paraId="74F56C5F">
            <w:pPr>
              <w:keepNext w:val="0"/>
              <w:keepLines w:val="0"/>
              <w:suppressLineNumbers w:val="0"/>
              <w:wordWrap w:val="0"/>
              <w:adjustRightInd w:val="0"/>
              <w:snapToGrid w:val="0"/>
              <w:spacing w:before="0" w:beforeAutospacing="0" w:after="0" w:afterAutospacing="0"/>
              <w:ind w:left="0" w:right="0"/>
              <w:jc w:val="center"/>
              <w:textAlignment w:val="center"/>
              <w:rPr>
                <w:rFonts w:hint="eastAsia" w:ascii="仿宋" w:hAnsi="仿宋" w:eastAsia="仿宋" w:cs="仿宋"/>
                <w:snapToGrid w:val="0"/>
                <w:color w:val="auto"/>
                <w:sz w:val="22"/>
                <w:szCs w:val="22"/>
                <w:highlight w:val="none"/>
              </w:rPr>
            </w:pPr>
          </w:p>
        </w:tc>
        <w:tc>
          <w:tcPr>
            <w:tcW w:w="1145" w:type="dxa"/>
            <w:vAlign w:val="center"/>
          </w:tcPr>
          <w:p w14:paraId="00F53613">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负债</w:t>
            </w:r>
          </w:p>
        </w:tc>
        <w:tc>
          <w:tcPr>
            <w:tcW w:w="1268" w:type="dxa"/>
            <w:gridSpan w:val="2"/>
            <w:vAlign w:val="center"/>
          </w:tcPr>
          <w:p w14:paraId="234444DE">
            <w:pPr>
              <w:keepNext w:val="0"/>
              <w:keepLines w:val="0"/>
              <w:suppressLineNumbers w:val="0"/>
              <w:tabs>
                <w:tab w:val="left" w:pos="540"/>
              </w:tabs>
              <w:wordWrap w:val="0"/>
              <w:adjustRightInd w:val="0"/>
              <w:snapToGrid w:val="0"/>
              <w:spacing w:before="0" w:beforeAutospacing="0" w:after="0" w:afterAutospacing="0"/>
              <w:ind w:left="-134" w:leftChars="-64" w:right="-105" w:rightChars="-50" w:firstLine="807" w:firstLineChars="367"/>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万元</w:t>
            </w:r>
          </w:p>
        </w:tc>
        <w:tc>
          <w:tcPr>
            <w:tcW w:w="3532" w:type="dxa"/>
            <w:gridSpan w:val="5"/>
            <w:vAlign w:val="center"/>
          </w:tcPr>
          <w:p w14:paraId="58D844AF">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固定资产净值           万元</w:t>
            </w:r>
          </w:p>
        </w:tc>
      </w:tr>
      <w:tr w14:paraId="2906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98" w:type="dxa"/>
            <w:vMerge w:val="restart"/>
            <w:vAlign w:val="center"/>
          </w:tcPr>
          <w:p w14:paraId="6FCBE31C">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财务状况</w:t>
            </w:r>
          </w:p>
        </w:tc>
        <w:tc>
          <w:tcPr>
            <w:tcW w:w="1163" w:type="dxa"/>
            <w:vAlign w:val="center"/>
          </w:tcPr>
          <w:p w14:paraId="68B44BD3">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年度</w:t>
            </w:r>
          </w:p>
        </w:tc>
        <w:tc>
          <w:tcPr>
            <w:tcW w:w="1145" w:type="dxa"/>
            <w:vAlign w:val="center"/>
          </w:tcPr>
          <w:p w14:paraId="7CC64F5A">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主营收入</w:t>
            </w:r>
          </w:p>
          <w:p w14:paraId="21602FE3">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（万元）</w:t>
            </w:r>
          </w:p>
        </w:tc>
        <w:tc>
          <w:tcPr>
            <w:tcW w:w="1268" w:type="dxa"/>
            <w:gridSpan w:val="2"/>
            <w:vAlign w:val="center"/>
          </w:tcPr>
          <w:p w14:paraId="144E07FA">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收入总额</w:t>
            </w:r>
          </w:p>
          <w:p w14:paraId="550A0214">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（万元）</w:t>
            </w:r>
          </w:p>
        </w:tc>
        <w:tc>
          <w:tcPr>
            <w:tcW w:w="1260" w:type="dxa"/>
            <w:gridSpan w:val="2"/>
            <w:vAlign w:val="center"/>
          </w:tcPr>
          <w:p w14:paraId="3BAD4005">
            <w:pPr>
              <w:keepNext w:val="0"/>
              <w:keepLines w:val="0"/>
              <w:suppressLineNumbers w:val="0"/>
              <w:tabs>
                <w:tab w:val="left" w:pos="540"/>
              </w:tabs>
              <w:wordWrap w:val="0"/>
              <w:adjustRightInd w:val="0"/>
              <w:snapToGrid w:val="0"/>
              <w:spacing w:before="0" w:beforeAutospacing="0" w:after="0" w:afterAutospacing="0"/>
              <w:ind w:left="-134" w:leftChars="-64" w:right="-105" w:rightChars="-50" w:firstLine="13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利润总额（万元）</w:t>
            </w:r>
          </w:p>
        </w:tc>
        <w:tc>
          <w:tcPr>
            <w:tcW w:w="1080" w:type="dxa"/>
            <w:gridSpan w:val="2"/>
            <w:vAlign w:val="center"/>
          </w:tcPr>
          <w:p w14:paraId="2AA24DAE">
            <w:pPr>
              <w:keepNext w:val="0"/>
              <w:keepLines w:val="0"/>
              <w:suppressLineNumbers w:val="0"/>
              <w:tabs>
                <w:tab w:val="left" w:pos="540"/>
              </w:tabs>
              <w:wordWrap w:val="0"/>
              <w:adjustRightInd w:val="0"/>
              <w:snapToGrid w:val="0"/>
              <w:spacing w:before="0" w:beforeAutospacing="0" w:after="0" w:afterAutospacing="0"/>
              <w:ind w:left="-134" w:leftChars="-64" w:right="44" w:rightChars="21" w:firstLine="13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净利润（万元）</w:t>
            </w:r>
          </w:p>
        </w:tc>
        <w:tc>
          <w:tcPr>
            <w:tcW w:w="1192" w:type="dxa"/>
            <w:vAlign w:val="center"/>
          </w:tcPr>
          <w:p w14:paraId="03974CDD">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资产负债率</w:t>
            </w:r>
          </w:p>
        </w:tc>
      </w:tr>
      <w:tr w14:paraId="1837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998" w:type="dxa"/>
            <w:vMerge w:val="continue"/>
            <w:vAlign w:val="center"/>
          </w:tcPr>
          <w:p w14:paraId="22F08D7A">
            <w:pPr>
              <w:keepNext w:val="0"/>
              <w:keepLines w:val="0"/>
              <w:suppressLineNumbers w:val="0"/>
              <w:tabs>
                <w:tab w:val="left" w:pos="540"/>
              </w:tabs>
              <w:wordWrap w:val="0"/>
              <w:adjustRightInd w:val="0"/>
              <w:snapToGrid w:val="0"/>
              <w:spacing w:before="0" w:beforeAutospacing="0" w:after="0" w:afterAutospacing="0" w:line="360" w:lineRule="auto"/>
              <w:ind w:left="-132" w:leftChars="-64" w:right="-105" w:rightChars="-50" w:hanging="2"/>
              <w:textAlignment w:val="center"/>
              <w:rPr>
                <w:rFonts w:hint="eastAsia" w:ascii="仿宋" w:hAnsi="仿宋" w:eastAsia="仿宋" w:cs="仿宋"/>
                <w:snapToGrid w:val="0"/>
                <w:color w:val="auto"/>
                <w:sz w:val="22"/>
                <w:szCs w:val="22"/>
                <w:highlight w:val="none"/>
              </w:rPr>
            </w:pPr>
          </w:p>
        </w:tc>
        <w:tc>
          <w:tcPr>
            <w:tcW w:w="1163" w:type="dxa"/>
            <w:vAlign w:val="center"/>
          </w:tcPr>
          <w:p w14:paraId="7CBB4139">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c>
          <w:tcPr>
            <w:tcW w:w="1145" w:type="dxa"/>
            <w:vAlign w:val="center"/>
          </w:tcPr>
          <w:p w14:paraId="7918C891">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c>
          <w:tcPr>
            <w:tcW w:w="1268" w:type="dxa"/>
            <w:gridSpan w:val="2"/>
            <w:vAlign w:val="center"/>
          </w:tcPr>
          <w:p w14:paraId="1D77FB7D">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c>
          <w:tcPr>
            <w:tcW w:w="1260" w:type="dxa"/>
            <w:gridSpan w:val="2"/>
            <w:vAlign w:val="center"/>
          </w:tcPr>
          <w:p w14:paraId="5BEE5449">
            <w:pPr>
              <w:keepNext w:val="0"/>
              <w:keepLines w:val="0"/>
              <w:suppressLineNumbers w:val="0"/>
              <w:tabs>
                <w:tab w:val="left" w:pos="540"/>
              </w:tabs>
              <w:wordWrap w:val="0"/>
              <w:adjustRightInd w:val="0"/>
              <w:snapToGrid w:val="0"/>
              <w:spacing w:before="0" w:beforeAutospacing="0" w:after="0" w:afterAutospacing="0"/>
              <w:ind w:left="-134" w:leftChars="-64" w:right="-105" w:rightChars="-50" w:firstLine="132"/>
              <w:jc w:val="center"/>
              <w:textAlignment w:val="center"/>
              <w:rPr>
                <w:rFonts w:hint="eastAsia" w:ascii="仿宋" w:hAnsi="仿宋" w:eastAsia="仿宋" w:cs="仿宋"/>
                <w:snapToGrid w:val="0"/>
                <w:color w:val="auto"/>
                <w:sz w:val="22"/>
                <w:szCs w:val="22"/>
                <w:highlight w:val="none"/>
              </w:rPr>
            </w:pPr>
          </w:p>
        </w:tc>
        <w:tc>
          <w:tcPr>
            <w:tcW w:w="1080" w:type="dxa"/>
            <w:gridSpan w:val="2"/>
            <w:vAlign w:val="center"/>
          </w:tcPr>
          <w:p w14:paraId="17C4B121">
            <w:pPr>
              <w:keepNext w:val="0"/>
              <w:keepLines w:val="0"/>
              <w:suppressLineNumbers w:val="0"/>
              <w:tabs>
                <w:tab w:val="left" w:pos="540"/>
              </w:tabs>
              <w:wordWrap w:val="0"/>
              <w:adjustRightInd w:val="0"/>
              <w:snapToGrid w:val="0"/>
              <w:spacing w:before="0" w:beforeAutospacing="0" w:after="0" w:afterAutospacing="0"/>
              <w:ind w:left="-134" w:leftChars="-64" w:right="44" w:rightChars="21" w:firstLine="132"/>
              <w:jc w:val="center"/>
              <w:textAlignment w:val="center"/>
              <w:rPr>
                <w:rFonts w:hint="eastAsia" w:ascii="仿宋" w:hAnsi="仿宋" w:eastAsia="仿宋" w:cs="仿宋"/>
                <w:snapToGrid w:val="0"/>
                <w:color w:val="auto"/>
                <w:sz w:val="22"/>
                <w:szCs w:val="22"/>
                <w:highlight w:val="none"/>
              </w:rPr>
            </w:pPr>
          </w:p>
        </w:tc>
        <w:tc>
          <w:tcPr>
            <w:tcW w:w="1192" w:type="dxa"/>
            <w:vAlign w:val="center"/>
          </w:tcPr>
          <w:p w14:paraId="01DC0EDF">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r>
    </w:tbl>
    <w:p w14:paraId="2082AF74">
      <w:pPr>
        <w:tabs>
          <w:tab w:val="left" w:pos="180"/>
        </w:tabs>
        <w:wordWrap w:val="0"/>
        <w:adjustRightInd w:val="0"/>
        <w:snapToGrid w:val="0"/>
        <w:spacing w:line="360" w:lineRule="auto"/>
        <w:ind w:left="-239" w:leftChars="-114" w:firstLine="107" w:firstLineChars="49"/>
        <w:rPr>
          <w:rFonts w:hint="eastAsia" w:ascii="仿宋" w:hAnsi="仿宋" w:eastAsia="仿宋" w:cs="仿宋"/>
          <w:bCs/>
          <w:color w:val="auto"/>
          <w:sz w:val="22"/>
          <w:szCs w:val="22"/>
          <w:highlight w:val="none"/>
          <w:lang w:val="en-GB"/>
        </w:rPr>
      </w:pPr>
      <w:r>
        <w:rPr>
          <w:rFonts w:hint="eastAsia" w:ascii="仿宋" w:hAnsi="仿宋" w:eastAsia="仿宋" w:cs="仿宋"/>
          <w:bCs/>
          <w:color w:val="auto"/>
          <w:sz w:val="22"/>
          <w:szCs w:val="22"/>
          <w:highlight w:val="none"/>
          <w:lang w:val="en-GB"/>
        </w:rPr>
        <w:t>注：1、根据本表内容相应进行文字描述，如单位性质、发展历程、经营规模及服务理念、主营业务、技术力量等。</w:t>
      </w:r>
    </w:p>
    <w:p w14:paraId="477B2B4D">
      <w:pPr>
        <w:wordWrap w:val="0"/>
        <w:adjustRightInd w:val="0"/>
        <w:snapToGrid w:val="0"/>
        <w:spacing w:line="360" w:lineRule="auto"/>
        <w:ind w:firstLine="420"/>
        <w:outlineLvl w:val="3"/>
        <w:rPr>
          <w:rFonts w:hint="eastAsia" w:ascii="仿宋" w:hAnsi="仿宋" w:eastAsia="仿宋" w:cs="仿宋"/>
          <w:bCs/>
          <w:color w:val="auto"/>
          <w:sz w:val="22"/>
          <w:szCs w:val="44"/>
          <w:highlight w:val="none"/>
          <w:lang w:val="en-GB"/>
        </w:rPr>
      </w:pPr>
      <w:r>
        <w:rPr>
          <w:rFonts w:hint="eastAsia" w:ascii="仿宋" w:hAnsi="仿宋" w:eastAsia="仿宋" w:cs="仿宋"/>
          <w:bCs/>
          <w:color w:val="auto"/>
          <w:sz w:val="22"/>
          <w:szCs w:val="22"/>
          <w:highlight w:val="none"/>
          <w:lang w:val="en-GB"/>
        </w:rPr>
        <w:t>2、如</w:t>
      </w:r>
      <w:r>
        <w:rPr>
          <w:rFonts w:hint="eastAsia" w:ascii="仿宋" w:hAnsi="仿宋" w:eastAsia="仿宋" w:cs="仿宋"/>
          <w:bCs/>
          <w:color w:val="auto"/>
          <w:sz w:val="22"/>
          <w:szCs w:val="22"/>
          <w:highlight w:val="none"/>
          <w:lang w:val="en-GB" w:eastAsia="zh-CN"/>
        </w:rPr>
        <w:t>投标人</w:t>
      </w:r>
      <w:r>
        <w:rPr>
          <w:rFonts w:hint="eastAsia" w:ascii="仿宋" w:hAnsi="仿宋" w:eastAsia="仿宋" w:cs="仿宋"/>
          <w:bCs/>
          <w:color w:val="auto"/>
          <w:sz w:val="22"/>
          <w:szCs w:val="22"/>
          <w:highlight w:val="none"/>
          <w:lang w:val="en-GB"/>
        </w:rPr>
        <w:t>此表数据或材料有虚假，一经查实，自行承担相关责任。</w:t>
      </w:r>
    </w:p>
    <w:p w14:paraId="1D424241">
      <w:pPr>
        <w:wordWrap w:val="0"/>
        <w:adjustRightInd w:val="0"/>
        <w:snapToGrid w:val="0"/>
        <w:spacing w:line="360" w:lineRule="auto"/>
        <w:jc w:val="center"/>
        <w:outlineLvl w:val="3"/>
        <w:rPr>
          <w:rFonts w:hint="eastAsia" w:ascii="仿宋" w:hAnsi="仿宋" w:eastAsia="仿宋" w:cs="仿宋"/>
          <w:b/>
          <w:color w:val="auto"/>
          <w:kern w:val="0"/>
          <w:sz w:val="28"/>
          <w:szCs w:val="28"/>
          <w:highlight w:val="none"/>
          <w:lang w:eastAsia="zh-CN"/>
        </w:rPr>
      </w:pPr>
      <w:r>
        <w:rPr>
          <w:rFonts w:hint="eastAsia" w:ascii="仿宋" w:hAnsi="仿宋" w:eastAsia="仿宋" w:cs="仿宋"/>
          <w:b/>
          <w:color w:val="auto"/>
          <w:kern w:val="0"/>
          <w:sz w:val="28"/>
          <w:szCs w:val="28"/>
          <w:highlight w:val="none"/>
        </w:rPr>
        <w:br w:type="page"/>
      </w:r>
      <w:r>
        <w:rPr>
          <w:rFonts w:hint="eastAsia" w:ascii="仿宋" w:hAnsi="仿宋" w:eastAsia="仿宋" w:cs="仿宋"/>
          <w:b/>
          <w:color w:val="auto"/>
          <w:kern w:val="0"/>
          <w:sz w:val="28"/>
          <w:szCs w:val="28"/>
          <w:highlight w:val="none"/>
          <w:lang w:eastAsia="zh-CN"/>
        </w:rPr>
        <w:t>投标函</w:t>
      </w:r>
    </w:p>
    <w:p w14:paraId="745A9BBA">
      <w:pPr>
        <w:wordWrap w:val="0"/>
        <w:adjustRightInd w:val="0"/>
        <w:snapToGrid w:val="0"/>
        <w:spacing w:line="360" w:lineRule="auto"/>
        <w:ind w:firstLine="110" w:firstLineChars="5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u w:val="single"/>
          <w:lang w:eastAsia="zh-CN"/>
        </w:rPr>
        <w:t>佛山市南海区桂城街叠南社区居民委员会</w:t>
      </w:r>
      <w:r>
        <w:rPr>
          <w:rFonts w:hint="eastAsia" w:ascii="仿宋" w:hAnsi="仿宋" w:eastAsia="仿宋" w:cs="仿宋"/>
          <w:color w:val="auto"/>
          <w:sz w:val="22"/>
          <w:szCs w:val="22"/>
          <w:highlight w:val="none"/>
        </w:rPr>
        <w:t>：</w:t>
      </w:r>
    </w:p>
    <w:p w14:paraId="52CA6EC8">
      <w:pPr>
        <w:wordWrap w:val="0"/>
        <w:autoSpaceDE w:val="0"/>
        <w:autoSpaceDN w:val="0"/>
        <w:adjustRightInd w:val="0"/>
        <w:snapToGrid w:val="0"/>
        <w:spacing w:line="360" w:lineRule="exact"/>
        <w:ind w:right="26" w:firstLine="440" w:firstLineChars="200"/>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依据贵方</w:t>
      </w:r>
      <w:r>
        <w:rPr>
          <w:rFonts w:hint="eastAsia" w:ascii="仿宋" w:hAnsi="仿宋" w:eastAsia="仿宋" w:cs="仿宋"/>
          <w:color w:val="auto"/>
          <w:sz w:val="22"/>
          <w:highlight w:val="none"/>
          <w:u w:val="single"/>
          <w:lang w:eastAsia="zh-CN"/>
        </w:rPr>
        <w:t>桂城街道叠北社区市政管理一体化服务</w:t>
      </w:r>
      <w:r>
        <w:rPr>
          <w:rFonts w:hint="eastAsia" w:ascii="仿宋" w:hAnsi="仿宋" w:eastAsia="仿宋" w:cs="仿宋"/>
          <w:color w:val="auto"/>
          <w:sz w:val="22"/>
          <w:highlight w:val="none"/>
          <w:u w:val="single"/>
        </w:rPr>
        <w:t>的</w:t>
      </w:r>
      <w:r>
        <w:rPr>
          <w:rFonts w:hint="eastAsia" w:ascii="仿宋" w:hAnsi="仿宋" w:eastAsia="仿宋" w:cs="仿宋"/>
          <w:color w:val="auto"/>
          <w:kern w:val="0"/>
          <w:sz w:val="22"/>
          <w:szCs w:val="22"/>
          <w:highlight w:val="none"/>
          <w:lang w:eastAsia="zh-CN"/>
        </w:rPr>
        <w:t>投标邀请</w:t>
      </w:r>
      <w:r>
        <w:rPr>
          <w:rFonts w:hint="eastAsia" w:ascii="仿宋" w:hAnsi="仿宋" w:eastAsia="仿宋" w:cs="仿宋"/>
          <w:color w:val="auto"/>
          <w:kern w:val="0"/>
          <w:sz w:val="22"/>
          <w:szCs w:val="22"/>
          <w:highlight w:val="none"/>
        </w:rPr>
        <w:t>，我方代表</w:t>
      </w:r>
      <w:r>
        <w:rPr>
          <w:rFonts w:hint="eastAsia" w:ascii="仿宋" w:hAnsi="仿宋" w:eastAsia="仿宋" w:cs="仿宋"/>
          <w:color w:val="auto"/>
          <w:sz w:val="22"/>
          <w:szCs w:val="22"/>
          <w:highlight w:val="none"/>
          <w:u w:val="single"/>
        </w:rPr>
        <w:t>（姓名、职务）</w:t>
      </w:r>
      <w:r>
        <w:rPr>
          <w:rFonts w:hint="eastAsia" w:ascii="仿宋" w:hAnsi="仿宋" w:eastAsia="仿宋" w:cs="仿宋"/>
          <w:color w:val="auto"/>
          <w:kern w:val="0"/>
          <w:sz w:val="22"/>
          <w:szCs w:val="22"/>
          <w:highlight w:val="none"/>
        </w:rPr>
        <w:t>经正式授权并代表</w:t>
      </w:r>
      <w:r>
        <w:rPr>
          <w:rFonts w:hint="eastAsia" w:ascii="仿宋" w:hAnsi="仿宋" w:eastAsia="仿宋" w:cs="仿宋"/>
          <w:color w:val="auto"/>
          <w:sz w:val="22"/>
          <w:szCs w:val="22"/>
          <w:highlight w:val="none"/>
          <w:u w:val="single"/>
        </w:rPr>
        <w:t>（</w:t>
      </w:r>
      <w:r>
        <w:rPr>
          <w:rFonts w:hint="eastAsia" w:ascii="仿宋" w:hAnsi="仿宋" w:eastAsia="仿宋" w:cs="仿宋"/>
          <w:color w:val="auto"/>
          <w:sz w:val="22"/>
          <w:szCs w:val="22"/>
          <w:highlight w:val="none"/>
          <w:u w:val="single"/>
          <w:lang w:eastAsia="zh-CN"/>
        </w:rPr>
        <w:t>投标人</w:t>
      </w:r>
      <w:r>
        <w:rPr>
          <w:rFonts w:hint="eastAsia" w:ascii="仿宋" w:hAnsi="仿宋" w:eastAsia="仿宋" w:cs="仿宋"/>
          <w:color w:val="auto"/>
          <w:sz w:val="22"/>
          <w:szCs w:val="22"/>
          <w:highlight w:val="none"/>
          <w:u w:val="single"/>
        </w:rPr>
        <w:t>名称、地址）</w:t>
      </w:r>
      <w:r>
        <w:rPr>
          <w:rFonts w:hint="eastAsia" w:ascii="仿宋" w:hAnsi="仿宋" w:eastAsia="仿宋" w:cs="仿宋"/>
          <w:color w:val="auto"/>
          <w:kern w:val="0"/>
          <w:sz w:val="22"/>
          <w:szCs w:val="22"/>
          <w:highlight w:val="none"/>
        </w:rPr>
        <w:t>提交</w:t>
      </w:r>
      <w:r>
        <w:rPr>
          <w:rFonts w:hint="eastAsia" w:ascii="仿宋" w:hAnsi="仿宋" w:eastAsia="仿宋" w:cs="仿宋"/>
          <w:color w:val="auto"/>
          <w:kern w:val="0"/>
          <w:sz w:val="22"/>
          <w:szCs w:val="22"/>
          <w:highlight w:val="none"/>
          <w:lang w:eastAsia="zh-CN"/>
        </w:rPr>
        <w:t>投标文件</w:t>
      </w:r>
      <w:r>
        <w:rPr>
          <w:rFonts w:hint="eastAsia" w:ascii="仿宋" w:hAnsi="仿宋" w:eastAsia="仿宋" w:cs="仿宋"/>
          <w:color w:val="auto"/>
          <w:kern w:val="0"/>
          <w:sz w:val="22"/>
          <w:szCs w:val="22"/>
          <w:highlight w:val="none"/>
        </w:rPr>
        <w:t>正本</w:t>
      </w:r>
      <w:r>
        <w:rPr>
          <w:rFonts w:hint="eastAsia" w:ascii="仿宋" w:hAnsi="仿宋" w:eastAsia="仿宋" w:cs="仿宋"/>
          <w:color w:val="auto"/>
          <w:kern w:val="0"/>
          <w:sz w:val="22"/>
          <w:szCs w:val="22"/>
          <w:highlight w:val="none"/>
          <w:u w:val="single"/>
        </w:rPr>
        <w:t>一</w:t>
      </w:r>
      <w:r>
        <w:rPr>
          <w:rFonts w:hint="eastAsia" w:ascii="仿宋" w:hAnsi="仿宋" w:eastAsia="仿宋" w:cs="仿宋"/>
          <w:color w:val="auto"/>
          <w:kern w:val="0"/>
          <w:sz w:val="22"/>
          <w:szCs w:val="22"/>
          <w:highlight w:val="none"/>
        </w:rPr>
        <w:t>份，副本</w:t>
      </w:r>
      <w:r>
        <w:rPr>
          <w:rFonts w:hint="eastAsia" w:ascii="仿宋" w:hAnsi="仿宋" w:eastAsia="仿宋" w:cs="仿宋"/>
          <w:color w:val="auto"/>
          <w:kern w:val="0"/>
          <w:sz w:val="22"/>
          <w:szCs w:val="22"/>
          <w:highlight w:val="none"/>
          <w:u w:val="single"/>
          <w:lang w:eastAsia="zh-CN"/>
        </w:rPr>
        <w:t>六</w:t>
      </w:r>
      <w:r>
        <w:rPr>
          <w:rFonts w:hint="eastAsia" w:ascii="仿宋" w:hAnsi="仿宋" w:eastAsia="仿宋" w:cs="仿宋"/>
          <w:color w:val="auto"/>
          <w:kern w:val="0"/>
          <w:sz w:val="22"/>
          <w:szCs w:val="22"/>
          <w:highlight w:val="none"/>
        </w:rPr>
        <w:t>份。</w:t>
      </w:r>
    </w:p>
    <w:p w14:paraId="4EFC5373">
      <w:pPr>
        <w:wordWrap w:val="0"/>
        <w:autoSpaceDE w:val="0"/>
        <w:autoSpaceDN w:val="0"/>
        <w:adjustRightInd w:val="0"/>
        <w:snapToGrid w:val="0"/>
        <w:spacing w:line="360" w:lineRule="exact"/>
        <w:ind w:right="246"/>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在此，我方声明如下：</w:t>
      </w:r>
    </w:p>
    <w:p w14:paraId="05DC6315">
      <w:pPr>
        <w:wordWrap w:val="0"/>
        <w:adjustRightInd w:val="0"/>
        <w:snapToGrid w:val="0"/>
        <w:spacing w:line="36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1.同意并接受</w:t>
      </w:r>
      <w:r>
        <w:rPr>
          <w:rFonts w:hint="eastAsia" w:ascii="仿宋" w:hAnsi="仿宋" w:eastAsia="仿宋" w:cs="仿宋"/>
          <w:color w:val="auto"/>
          <w:sz w:val="22"/>
          <w:szCs w:val="22"/>
          <w:highlight w:val="none"/>
          <w:lang w:eastAsia="zh-CN"/>
        </w:rPr>
        <w:t>采购文件</w:t>
      </w:r>
      <w:r>
        <w:rPr>
          <w:rFonts w:hint="eastAsia" w:ascii="仿宋" w:hAnsi="仿宋" w:eastAsia="仿宋" w:cs="仿宋"/>
          <w:color w:val="auto"/>
          <w:sz w:val="22"/>
          <w:szCs w:val="22"/>
          <w:highlight w:val="none"/>
        </w:rPr>
        <w:t>的各项要求，遵守</w:t>
      </w:r>
      <w:r>
        <w:rPr>
          <w:rFonts w:hint="eastAsia" w:ascii="仿宋" w:hAnsi="仿宋" w:eastAsia="仿宋" w:cs="仿宋"/>
          <w:color w:val="auto"/>
          <w:sz w:val="22"/>
          <w:szCs w:val="22"/>
          <w:highlight w:val="none"/>
          <w:lang w:eastAsia="zh-CN"/>
        </w:rPr>
        <w:t>采购文件</w:t>
      </w:r>
      <w:r>
        <w:rPr>
          <w:rFonts w:hint="eastAsia" w:ascii="仿宋" w:hAnsi="仿宋" w:eastAsia="仿宋" w:cs="仿宋"/>
          <w:color w:val="auto"/>
          <w:sz w:val="22"/>
          <w:szCs w:val="22"/>
          <w:highlight w:val="none"/>
        </w:rPr>
        <w:t>中的各项规定，按</w:t>
      </w:r>
      <w:r>
        <w:rPr>
          <w:rFonts w:hint="eastAsia" w:ascii="仿宋" w:hAnsi="仿宋" w:eastAsia="仿宋" w:cs="仿宋"/>
          <w:color w:val="auto"/>
          <w:sz w:val="22"/>
          <w:szCs w:val="22"/>
          <w:highlight w:val="none"/>
          <w:lang w:eastAsia="zh-CN"/>
        </w:rPr>
        <w:t>采购文件</w:t>
      </w:r>
      <w:r>
        <w:rPr>
          <w:rFonts w:hint="eastAsia" w:ascii="仿宋" w:hAnsi="仿宋" w:eastAsia="仿宋" w:cs="仿宋"/>
          <w:color w:val="auto"/>
          <w:sz w:val="22"/>
          <w:szCs w:val="22"/>
          <w:highlight w:val="none"/>
        </w:rPr>
        <w:t>的要求提供报价。</w:t>
      </w:r>
    </w:p>
    <w:p w14:paraId="052C0E40">
      <w:pPr>
        <w:wordWrap w:val="0"/>
        <w:adjustRightInd w:val="0"/>
        <w:snapToGrid w:val="0"/>
        <w:spacing w:line="36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eastAsia="zh-CN"/>
        </w:rPr>
        <w:t>投标有效期</w:t>
      </w:r>
      <w:r>
        <w:rPr>
          <w:rFonts w:hint="eastAsia" w:ascii="仿宋" w:hAnsi="仿宋" w:eastAsia="仿宋" w:cs="仿宋"/>
          <w:color w:val="auto"/>
          <w:sz w:val="22"/>
          <w:szCs w:val="22"/>
          <w:highlight w:val="none"/>
        </w:rPr>
        <w:t>为从提交</w:t>
      </w:r>
      <w:r>
        <w:rPr>
          <w:rFonts w:hint="eastAsia" w:ascii="仿宋" w:hAnsi="仿宋" w:eastAsia="仿宋" w:cs="仿宋"/>
          <w:color w:val="auto"/>
          <w:sz w:val="22"/>
          <w:szCs w:val="22"/>
          <w:highlight w:val="none"/>
          <w:lang w:eastAsia="zh-CN"/>
        </w:rPr>
        <w:t>投标文件</w:t>
      </w:r>
      <w:r>
        <w:rPr>
          <w:rFonts w:hint="eastAsia" w:ascii="仿宋" w:hAnsi="仿宋" w:eastAsia="仿宋" w:cs="仿宋"/>
          <w:color w:val="auto"/>
          <w:sz w:val="22"/>
          <w:szCs w:val="22"/>
          <w:highlight w:val="none"/>
        </w:rPr>
        <w:t>的截止之日起90天，</w:t>
      </w:r>
      <w:r>
        <w:rPr>
          <w:rFonts w:hint="eastAsia" w:ascii="仿宋" w:hAnsi="仿宋" w:eastAsia="仿宋" w:cs="仿宋"/>
          <w:color w:val="auto"/>
          <w:sz w:val="22"/>
          <w:szCs w:val="22"/>
          <w:highlight w:val="none"/>
          <w:lang w:eastAsia="zh-CN"/>
        </w:rPr>
        <w:t>中标人</w:t>
      </w:r>
      <w:r>
        <w:rPr>
          <w:rFonts w:hint="eastAsia" w:ascii="仿宋" w:hAnsi="仿宋" w:eastAsia="仿宋" w:cs="仿宋"/>
          <w:color w:val="auto"/>
          <w:sz w:val="22"/>
          <w:szCs w:val="22"/>
          <w:highlight w:val="none"/>
        </w:rPr>
        <w:t>的</w:t>
      </w:r>
      <w:r>
        <w:rPr>
          <w:rFonts w:hint="eastAsia" w:ascii="仿宋" w:hAnsi="仿宋" w:eastAsia="仿宋" w:cs="仿宋"/>
          <w:color w:val="auto"/>
          <w:sz w:val="22"/>
          <w:szCs w:val="22"/>
          <w:highlight w:val="none"/>
          <w:lang w:eastAsia="zh-CN"/>
        </w:rPr>
        <w:t>投标有效期</w:t>
      </w:r>
      <w:r>
        <w:rPr>
          <w:rFonts w:hint="eastAsia" w:ascii="仿宋" w:hAnsi="仿宋" w:eastAsia="仿宋" w:cs="仿宋"/>
          <w:color w:val="auto"/>
          <w:sz w:val="22"/>
          <w:szCs w:val="22"/>
          <w:highlight w:val="none"/>
        </w:rPr>
        <w:t>延续到合同终止日。</w:t>
      </w:r>
    </w:p>
    <w:p w14:paraId="10890AD2">
      <w:pPr>
        <w:wordWrap w:val="0"/>
        <w:adjustRightInd w:val="0"/>
        <w:snapToGrid w:val="0"/>
        <w:spacing w:line="36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3.我方已经详细地阅读了全部</w:t>
      </w:r>
      <w:r>
        <w:rPr>
          <w:rFonts w:hint="eastAsia" w:ascii="仿宋" w:hAnsi="仿宋" w:eastAsia="仿宋" w:cs="仿宋"/>
          <w:color w:val="auto"/>
          <w:sz w:val="22"/>
          <w:szCs w:val="22"/>
          <w:highlight w:val="none"/>
          <w:lang w:eastAsia="zh-CN"/>
        </w:rPr>
        <w:t>采购文件</w:t>
      </w:r>
      <w:r>
        <w:rPr>
          <w:rFonts w:hint="eastAsia" w:ascii="仿宋" w:hAnsi="仿宋" w:eastAsia="仿宋" w:cs="仿宋"/>
          <w:color w:val="auto"/>
          <w:sz w:val="22"/>
          <w:szCs w:val="22"/>
          <w:highlight w:val="none"/>
        </w:rPr>
        <w:t>及其附件，包括澄清及参考文件(如果有的话)。我方已完全清晰理解</w:t>
      </w:r>
      <w:r>
        <w:rPr>
          <w:rFonts w:hint="eastAsia" w:ascii="仿宋" w:hAnsi="仿宋" w:eastAsia="仿宋" w:cs="仿宋"/>
          <w:color w:val="auto"/>
          <w:sz w:val="22"/>
          <w:szCs w:val="22"/>
          <w:highlight w:val="none"/>
          <w:lang w:eastAsia="zh-CN"/>
        </w:rPr>
        <w:t>采购文件</w:t>
      </w:r>
      <w:r>
        <w:rPr>
          <w:rFonts w:hint="eastAsia" w:ascii="仿宋" w:hAnsi="仿宋" w:eastAsia="仿宋" w:cs="仿宋"/>
          <w:color w:val="auto"/>
          <w:sz w:val="22"/>
          <w:szCs w:val="22"/>
          <w:highlight w:val="none"/>
        </w:rPr>
        <w:t>的要求，不存在任何含糊不清和误解之处，同意放弃对这些文件所提出的异议和质疑的权利。</w:t>
      </w:r>
    </w:p>
    <w:p w14:paraId="0B857E8B">
      <w:pPr>
        <w:wordWrap w:val="0"/>
        <w:adjustRightInd w:val="0"/>
        <w:snapToGrid w:val="0"/>
        <w:spacing w:line="36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4.我方已毫无保留地向贵方提供一切所需的证明材料。</w:t>
      </w:r>
    </w:p>
    <w:p w14:paraId="71C0C3B2">
      <w:pPr>
        <w:wordWrap w:val="0"/>
        <w:adjustRightInd w:val="0"/>
        <w:snapToGrid w:val="0"/>
        <w:spacing w:line="360" w:lineRule="exact"/>
        <w:ind w:firstLine="413" w:firstLineChars="188"/>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5.我方承诺在本次</w:t>
      </w:r>
      <w:r>
        <w:rPr>
          <w:rFonts w:hint="eastAsia" w:ascii="仿宋" w:hAnsi="仿宋" w:eastAsia="仿宋" w:cs="仿宋"/>
          <w:color w:val="auto"/>
          <w:sz w:val="22"/>
          <w:szCs w:val="22"/>
          <w:highlight w:val="none"/>
          <w:lang w:eastAsia="zh-CN"/>
        </w:rPr>
        <w:t>投标文件</w:t>
      </w:r>
      <w:r>
        <w:rPr>
          <w:rFonts w:hint="eastAsia" w:ascii="仿宋" w:hAnsi="仿宋" w:eastAsia="仿宋" w:cs="仿宋"/>
          <w:color w:val="auto"/>
          <w:sz w:val="22"/>
          <w:szCs w:val="22"/>
          <w:highlight w:val="none"/>
        </w:rPr>
        <w:t>中提供的一切文件，无论是原件还是复印件均为真实和准确的，绝无任何虚假、伪造和夸大的成分，否则，愿承担相应的后果和法律责任。</w:t>
      </w:r>
    </w:p>
    <w:p w14:paraId="3695A533">
      <w:pPr>
        <w:wordWrap w:val="0"/>
        <w:adjustRightInd w:val="0"/>
        <w:snapToGrid w:val="0"/>
        <w:spacing w:line="360" w:lineRule="exact"/>
        <w:ind w:firstLine="413" w:firstLineChars="188"/>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6.我方完全服从和尊重评委会所作的评定结果，同时清楚理解到报价最低并非意味着必定获得中标资格。</w:t>
      </w:r>
    </w:p>
    <w:p w14:paraId="009F3C19">
      <w:pPr>
        <w:wordWrap w:val="0"/>
        <w:adjustRightInd w:val="0"/>
        <w:snapToGrid w:val="0"/>
        <w:spacing w:line="360" w:lineRule="exact"/>
        <w:ind w:firstLine="413" w:firstLineChars="188"/>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7.我方同意按</w:t>
      </w:r>
      <w:r>
        <w:rPr>
          <w:rFonts w:hint="eastAsia" w:ascii="仿宋" w:hAnsi="仿宋" w:eastAsia="仿宋" w:cs="仿宋"/>
          <w:color w:val="auto"/>
          <w:sz w:val="22"/>
          <w:szCs w:val="22"/>
          <w:highlight w:val="none"/>
          <w:lang w:eastAsia="zh-CN"/>
        </w:rPr>
        <w:t>采购文件</w:t>
      </w:r>
      <w:r>
        <w:rPr>
          <w:rFonts w:hint="eastAsia" w:ascii="仿宋" w:hAnsi="仿宋" w:eastAsia="仿宋" w:cs="仿宋"/>
          <w:color w:val="auto"/>
          <w:sz w:val="22"/>
          <w:szCs w:val="22"/>
          <w:highlight w:val="none"/>
        </w:rPr>
        <w:t>规定向</w:t>
      </w:r>
      <w:r>
        <w:rPr>
          <w:rFonts w:hint="eastAsia" w:ascii="仿宋" w:hAnsi="仿宋" w:eastAsia="仿宋" w:cs="仿宋"/>
          <w:color w:val="auto"/>
          <w:sz w:val="22"/>
          <w:szCs w:val="22"/>
          <w:highlight w:val="none"/>
          <w:lang w:eastAsia="zh-CN"/>
        </w:rPr>
        <w:t>代理机构</w:t>
      </w:r>
      <w:r>
        <w:rPr>
          <w:rFonts w:hint="eastAsia" w:ascii="仿宋" w:hAnsi="仿宋" w:eastAsia="仿宋" w:cs="仿宋"/>
          <w:color w:val="auto"/>
          <w:sz w:val="22"/>
          <w:szCs w:val="22"/>
          <w:highlight w:val="none"/>
        </w:rPr>
        <w:t>缴纳</w:t>
      </w:r>
      <w:r>
        <w:rPr>
          <w:rFonts w:hint="eastAsia" w:ascii="仿宋" w:hAnsi="仿宋" w:eastAsia="仿宋" w:cs="仿宋"/>
          <w:color w:val="auto"/>
          <w:sz w:val="22"/>
          <w:szCs w:val="22"/>
          <w:highlight w:val="none"/>
          <w:lang w:val="en-GB"/>
        </w:rPr>
        <w:t>采购代理服务费</w:t>
      </w:r>
      <w:r>
        <w:rPr>
          <w:rFonts w:hint="eastAsia" w:ascii="仿宋" w:hAnsi="仿宋" w:eastAsia="仿宋" w:cs="仿宋"/>
          <w:color w:val="auto"/>
          <w:sz w:val="22"/>
          <w:szCs w:val="22"/>
          <w:highlight w:val="none"/>
        </w:rPr>
        <w:t>。</w:t>
      </w:r>
    </w:p>
    <w:p w14:paraId="2C382E70">
      <w:pPr>
        <w:wordWrap w:val="0"/>
        <w:adjustRightInd w:val="0"/>
        <w:snapToGrid w:val="0"/>
        <w:spacing w:line="360" w:lineRule="exact"/>
        <w:ind w:firstLine="413" w:firstLineChars="188"/>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8.我方确认知悉违反</w:t>
      </w:r>
      <w:r>
        <w:rPr>
          <w:rFonts w:hint="eastAsia" w:ascii="仿宋" w:hAnsi="仿宋" w:eastAsia="仿宋" w:cs="仿宋"/>
          <w:color w:val="auto"/>
          <w:sz w:val="22"/>
          <w:szCs w:val="22"/>
          <w:highlight w:val="none"/>
          <w:lang w:eastAsia="zh-CN"/>
        </w:rPr>
        <w:t>采购活动</w:t>
      </w:r>
      <w:r>
        <w:rPr>
          <w:rFonts w:hint="eastAsia" w:ascii="仿宋" w:hAnsi="仿宋" w:eastAsia="仿宋" w:cs="仿宋"/>
          <w:color w:val="auto"/>
          <w:sz w:val="22"/>
          <w:szCs w:val="22"/>
          <w:highlight w:val="none"/>
        </w:rPr>
        <w:t>相关法律法规规定应承担的违法责任。</w:t>
      </w:r>
    </w:p>
    <w:p w14:paraId="46BEF5C7">
      <w:pPr>
        <w:wordWrap w:val="0"/>
        <w:autoSpaceDE w:val="0"/>
        <w:autoSpaceDN w:val="0"/>
        <w:adjustRightInd w:val="0"/>
        <w:snapToGrid w:val="0"/>
        <w:spacing w:line="360" w:lineRule="auto"/>
        <w:ind w:right="246"/>
        <w:rPr>
          <w:rFonts w:hint="eastAsia" w:ascii="仿宋" w:hAnsi="仿宋" w:eastAsia="仿宋" w:cs="仿宋"/>
          <w:color w:val="auto"/>
          <w:kern w:val="0"/>
          <w:sz w:val="22"/>
          <w:szCs w:val="22"/>
          <w:highlight w:val="none"/>
        </w:rPr>
      </w:pPr>
    </w:p>
    <w:p w14:paraId="1E977642">
      <w:pPr>
        <w:wordWrap w:val="0"/>
        <w:autoSpaceDE w:val="0"/>
        <w:autoSpaceDN w:val="0"/>
        <w:adjustRightInd w:val="0"/>
        <w:snapToGrid w:val="0"/>
        <w:spacing w:line="360" w:lineRule="auto"/>
        <w:ind w:right="246"/>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sz w:val="22"/>
          <w:szCs w:val="22"/>
          <w:highlight w:val="none"/>
        </w:rPr>
        <w:t>名称(加盖公章)：</w:t>
      </w:r>
      <w:r>
        <w:rPr>
          <w:rFonts w:hint="eastAsia" w:ascii="仿宋" w:hAnsi="仿宋" w:eastAsia="仿宋" w:cs="仿宋"/>
          <w:color w:val="auto"/>
          <w:sz w:val="22"/>
          <w:szCs w:val="22"/>
          <w:highlight w:val="none"/>
          <w:u w:val="single"/>
        </w:rPr>
        <w:t xml:space="preserve">              </w:t>
      </w:r>
    </w:p>
    <w:p w14:paraId="72E30969">
      <w:pPr>
        <w:wordWrap w:val="0"/>
        <w:autoSpaceDE w:val="0"/>
        <w:autoSpaceDN w:val="0"/>
        <w:adjustRightInd w:val="0"/>
        <w:snapToGrid w:val="0"/>
        <w:spacing w:line="360" w:lineRule="auto"/>
        <w:ind w:right="246"/>
        <w:rPr>
          <w:rFonts w:hint="eastAsia" w:ascii="仿宋" w:hAnsi="仿宋" w:eastAsia="仿宋" w:cs="仿宋"/>
          <w:color w:val="auto"/>
          <w:sz w:val="22"/>
          <w:szCs w:val="22"/>
          <w:highlight w:val="none"/>
          <w:u w:val="singl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法定代表人/负责人（或法定代表人/负责人授权代表）签字</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u w:val="single"/>
        </w:rPr>
        <w:t xml:space="preserve">             </w:t>
      </w:r>
    </w:p>
    <w:p w14:paraId="29F025CF">
      <w:pPr>
        <w:wordWrap w:val="0"/>
        <w:autoSpaceDE w:val="0"/>
        <w:autoSpaceDN w:val="0"/>
        <w:adjustRightInd w:val="0"/>
        <w:snapToGrid w:val="0"/>
        <w:spacing w:line="360" w:lineRule="auto"/>
        <w:ind w:right="246"/>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地址：</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 xml:space="preserve">    </w:t>
      </w:r>
    </w:p>
    <w:p w14:paraId="53914476">
      <w:pPr>
        <w:wordWrap w:val="0"/>
        <w:autoSpaceDE w:val="0"/>
        <w:autoSpaceDN w:val="0"/>
        <w:adjustRightInd w:val="0"/>
        <w:snapToGrid w:val="0"/>
        <w:spacing w:line="360" w:lineRule="auto"/>
        <w:ind w:right="246"/>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电话：</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传真：</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 xml:space="preserve">   电子邮件：</w:t>
      </w:r>
      <w:r>
        <w:rPr>
          <w:rFonts w:hint="eastAsia" w:ascii="仿宋" w:hAnsi="仿宋" w:eastAsia="仿宋" w:cs="仿宋"/>
          <w:color w:val="auto"/>
          <w:kern w:val="0"/>
          <w:sz w:val="22"/>
          <w:szCs w:val="22"/>
          <w:highlight w:val="none"/>
          <w:u w:val="single"/>
        </w:rPr>
        <w:t xml:space="preserve">         </w:t>
      </w:r>
    </w:p>
    <w:p w14:paraId="30CA155D">
      <w:pPr>
        <w:wordWrap w:val="0"/>
        <w:adjustRightInd w:val="0"/>
        <w:snapToGrid w:val="0"/>
        <w:spacing w:line="360" w:lineRule="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开户银行：</w:t>
      </w:r>
      <w:r>
        <w:rPr>
          <w:rFonts w:hint="eastAsia" w:ascii="仿宋" w:hAnsi="仿宋" w:eastAsia="仿宋" w:cs="仿宋"/>
          <w:color w:val="auto"/>
          <w:sz w:val="22"/>
          <w:szCs w:val="22"/>
          <w:highlight w:val="none"/>
          <w:u w:val="single"/>
        </w:rPr>
        <w:t xml:space="preserve">         </w:t>
      </w:r>
    </w:p>
    <w:p w14:paraId="73C8466E">
      <w:pPr>
        <w:tabs>
          <w:tab w:val="left" w:pos="5250"/>
        </w:tabs>
        <w:wordWrap w:val="0"/>
        <w:autoSpaceDE w:val="0"/>
        <w:autoSpaceDN w:val="0"/>
        <w:adjustRightInd w:val="0"/>
        <w:snapToGrid w:val="0"/>
        <w:spacing w:line="360" w:lineRule="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账号：</w:t>
      </w:r>
      <w:r>
        <w:rPr>
          <w:rFonts w:hint="eastAsia" w:ascii="仿宋" w:hAnsi="仿宋" w:eastAsia="仿宋" w:cs="仿宋"/>
          <w:color w:val="auto"/>
          <w:sz w:val="22"/>
          <w:szCs w:val="22"/>
          <w:highlight w:val="none"/>
          <w:u w:val="single"/>
        </w:rPr>
        <w:t xml:space="preserve">             </w:t>
      </w:r>
    </w:p>
    <w:p w14:paraId="20D1B811">
      <w:pPr>
        <w:wordWrap w:val="0"/>
        <w:adjustRightInd w:val="0"/>
        <w:snapToGrid w:val="0"/>
        <w:spacing w:line="360" w:lineRule="auto"/>
        <w:rPr>
          <w:rFonts w:hint="eastAsia" w:ascii="仿宋" w:hAnsi="仿宋" w:eastAsia="仿宋" w:cs="仿宋"/>
          <w:b/>
          <w:color w:val="auto"/>
          <w:sz w:val="24"/>
          <w:highlight w:val="none"/>
        </w:rPr>
      </w:pP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p>
    <w:p w14:paraId="2C89E24C">
      <w:pPr>
        <w:wordWrap w:val="0"/>
        <w:adjustRightInd w:val="0"/>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color w:val="auto"/>
          <w:sz w:val="24"/>
          <w:highlight w:val="none"/>
        </w:rPr>
        <w:br w:type="page"/>
      </w:r>
      <w:r>
        <w:rPr>
          <w:rFonts w:hint="eastAsia" w:ascii="仿宋" w:hAnsi="仿宋" w:eastAsia="仿宋" w:cs="仿宋"/>
          <w:b/>
          <w:bCs/>
          <w:color w:val="auto"/>
          <w:sz w:val="28"/>
          <w:szCs w:val="28"/>
          <w:highlight w:val="none"/>
        </w:rPr>
        <w:t>法定代表人/负责人资格证明书</w:t>
      </w:r>
    </w:p>
    <w:p w14:paraId="1E202E50">
      <w:pPr>
        <w:wordWrap w:val="0"/>
        <w:adjustRightInd w:val="0"/>
        <w:snapToGrid w:val="0"/>
        <w:spacing w:line="360" w:lineRule="auto"/>
        <w:rPr>
          <w:rFonts w:hint="eastAsia" w:ascii="仿宋" w:hAnsi="仿宋" w:eastAsia="仿宋" w:cs="仿宋"/>
          <w:b/>
          <w:color w:val="auto"/>
          <w:sz w:val="24"/>
          <w:highlight w:val="none"/>
        </w:rPr>
      </w:pPr>
    </w:p>
    <w:p w14:paraId="26EFCFCA">
      <w:pPr>
        <w:wordWrap w:val="0"/>
        <w:adjustRightInd w:val="0"/>
        <w:snapToGrid w:val="0"/>
        <w:spacing w:line="360" w:lineRule="auto"/>
        <w:ind w:firstLine="120" w:firstLineChars="50"/>
        <w:rPr>
          <w:rFonts w:hint="eastAsia" w:ascii="仿宋" w:hAnsi="仿宋" w:eastAsia="仿宋" w:cs="仿宋"/>
          <w:color w:val="auto"/>
          <w:szCs w:val="21"/>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佛山市南海区桂城街叠南社区居民委员会</w:t>
      </w:r>
      <w:r>
        <w:rPr>
          <w:rFonts w:hint="eastAsia" w:ascii="仿宋" w:hAnsi="仿宋" w:eastAsia="仿宋" w:cs="仿宋"/>
          <w:color w:val="auto"/>
          <w:sz w:val="24"/>
          <w:highlight w:val="none"/>
        </w:rPr>
        <w:t>：</w:t>
      </w:r>
      <w:r>
        <w:rPr>
          <w:rFonts w:hint="eastAsia" w:ascii="仿宋" w:hAnsi="仿宋" w:eastAsia="仿宋" w:cs="仿宋"/>
          <w:color w:val="auto"/>
          <w:szCs w:val="21"/>
          <w:highlight w:val="none"/>
        </w:rPr>
        <w:t xml:space="preserve"> </w:t>
      </w:r>
    </w:p>
    <w:p w14:paraId="16E2EA63">
      <w:pPr>
        <w:wordWrap w:val="0"/>
        <w:adjustRightInd w:val="0"/>
        <w:snapToGrid w:val="0"/>
        <w:spacing w:line="360" w:lineRule="auto"/>
        <w:ind w:firstLine="105" w:firstLineChars="50"/>
        <w:rPr>
          <w:rFonts w:hint="eastAsia" w:ascii="仿宋" w:hAnsi="仿宋" w:eastAsia="仿宋" w:cs="仿宋"/>
          <w:color w:val="auto"/>
          <w:szCs w:val="21"/>
          <w:highlight w:val="none"/>
        </w:rPr>
      </w:pPr>
    </w:p>
    <w:p w14:paraId="41870EE3">
      <w:pPr>
        <w:wordWrap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6"/>
          <w:szCs w:val="28"/>
          <w:highlight w:val="non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同志，现任我单位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职务，为法定代表人/负责人，特此证明。</w:t>
      </w:r>
    </w:p>
    <w:p w14:paraId="59E94C32">
      <w:pPr>
        <w:wordWrap w:val="0"/>
        <w:adjustRightInd w:val="0"/>
        <w:snapToGrid w:val="0"/>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签发日期：           单位：           （盖章）</w:t>
      </w:r>
    </w:p>
    <w:p w14:paraId="0FFA88B5">
      <w:pPr>
        <w:wordWrap w:val="0"/>
        <w:adjustRightInd w:val="0"/>
        <w:snapToGrid w:val="0"/>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附：法定代表人/负责人的性别：            年龄：           身份证号码：</w:t>
      </w:r>
    </w:p>
    <w:p w14:paraId="0104480A">
      <w:pPr>
        <w:wordWrap w:val="0"/>
        <w:adjustRightInd w:val="0"/>
        <w:snapToGrid w:val="0"/>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p w14:paraId="176366B7">
      <w:pPr>
        <w:wordWrap w:val="0"/>
        <w:adjustRightInd w:val="0"/>
        <w:snapToGrid w:val="0"/>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营业执照号码：     经济性质：</w:t>
      </w:r>
    </w:p>
    <w:p w14:paraId="33F00092">
      <w:pPr>
        <w:wordWrap w:val="0"/>
        <w:adjustRightInd w:val="0"/>
        <w:snapToGrid w:val="0"/>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主营（产）：</w:t>
      </w:r>
    </w:p>
    <w:p w14:paraId="2D01704B">
      <w:pPr>
        <w:wordWrap w:val="0"/>
        <w:adjustRightInd w:val="0"/>
        <w:snapToGrid w:val="0"/>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兼营（产）：</w:t>
      </w:r>
    </w:p>
    <w:p w14:paraId="0FC648E5">
      <w:pPr>
        <w:wordWrap w:val="0"/>
        <w:adjustRightInd w:val="0"/>
        <w:snapToGrid w:val="0"/>
        <w:rPr>
          <w:rFonts w:hint="eastAsia" w:ascii="仿宋" w:hAnsi="仿宋" w:eastAsia="仿宋" w:cs="仿宋"/>
          <w:color w:val="auto"/>
          <w:sz w:val="24"/>
          <w:highlight w:val="none"/>
        </w:rPr>
      </w:pPr>
    </w:p>
    <w:p w14:paraId="7B66590D">
      <w:pPr>
        <w:wordWrap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说明：1.法定代表人/负责人为企业事业单位、国家机关、社会团体的主要行政负责人。</w:t>
      </w:r>
    </w:p>
    <w:p w14:paraId="10F2668C">
      <w:pPr>
        <w:wordWrap w:val="0"/>
        <w:adjustRightInd w:val="0"/>
        <w:snapToGrid w:val="0"/>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bookmarkStart w:id="73" w:name="_Toc16279"/>
      <w:bookmarkStart w:id="74" w:name="_Toc7805"/>
      <w:bookmarkStart w:id="75" w:name="_Toc22763"/>
      <w:r>
        <w:rPr>
          <w:rFonts w:hint="eastAsia" w:ascii="仿宋" w:hAnsi="仿宋" w:eastAsia="仿宋" w:cs="仿宋"/>
          <w:color w:val="auto"/>
          <w:sz w:val="24"/>
          <w:highlight w:val="none"/>
        </w:rPr>
        <w:t>2.内容必须填写真实、清楚、涂改无效，不得转让、买卖。</w:t>
      </w:r>
      <w:bookmarkEnd w:id="73"/>
      <w:bookmarkEnd w:id="74"/>
      <w:bookmarkEnd w:id="75"/>
    </w:p>
    <w:p w14:paraId="49FB9BDC">
      <w:pPr>
        <w:wordWrap w:val="0"/>
        <w:adjustRightInd w:val="0"/>
        <w:snapToGrid w:val="0"/>
        <w:ind w:firstLine="720" w:firstLineChars="300"/>
        <w:outlineLvl w:val="0"/>
        <w:rPr>
          <w:rFonts w:hint="eastAsia" w:ascii="仿宋" w:hAnsi="仿宋" w:eastAsia="仿宋" w:cs="仿宋"/>
          <w:b/>
          <w:color w:val="auto"/>
          <w:sz w:val="24"/>
          <w:highlight w:val="none"/>
        </w:rPr>
      </w:pPr>
      <w:bookmarkStart w:id="76" w:name="_Toc15497"/>
      <w:bookmarkStart w:id="77" w:name="_Toc14320"/>
      <w:bookmarkStart w:id="78" w:name="_Toc16669"/>
      <w:r>
        <w:rPr>
          <w:rFonts w:hint="eastAsia" w:ascii="仿宋" w:hAnsi="仿宋" w:eastAsia="仿宋" w:cs="仿宋"/>
          <w:color w:val="auto"/>
          <w:sz w:val="24"/>
          <w:highlight w:val="none"/>
        </w:rPr>
        <w:t>3.将此证明书提交对方作为合同附件</w:t>
      </w:r>
      <w:r>
        <w:rPr>
          <w:rFonts w:hint="eastAsia" w:ascii="仿宋" w:hAnsi="仿宋" w:eastAsia="仿宋" w:cs="仿宋"/>
          <w:b/>
          <w:color w:val="auto"/>
          <w:sz w:val="24"/>
          <w:highlight w:val="none"/>
        </w:rPr>
        <w:t>。</w:t>
      </w:r>
      <w:bookmarkEnd w:id="76"/>
      <w:bookmarkEnd w:id="77"/>
      <w:bookmarkEnd w:id="78"/>
    </w:p>
    <w:p w14:paraId="4F2EFB39">
      <w:pPr>
        <w:pStyle w:val="2"/>
        <w:keepNext w:val="0"/>
        <w:keepLines w:val="0"/>
        <w:wordWrap w:val="0"/>
        <w:adjustRightInd w:val="0"/>
        <w:snapToGrid w:val="0"/>
        <w:jc w:val="both"/>
        <w:rPr>
          <w:rFonts w:hint="eastAsia" w:ascii="仿宋" w:hAnsi="仿宋" w:eastAsia="仿宋" w:cs="仿宋"/>
          <w:color w:val="auto"/>
          <w:highlight w:val="none"/>
        </w:rPr>
      </w:pPr>
    </w:p>
    <w:p w14:paraId="24C182A8">
      <w:pPr>
        <w:wordWrap w:val="0"/>
        <w:adjustRightInd w:val="0"/>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(为避免废标，请</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务必提供本附件)</w:t>
      </w:r>
    </w:p>
    <w:p w14:paraId="407942B0">
      <w:pPr>
        <w:wordWrap w:val="0"/>
        <w:adjustRightInd w:val="0"/>
        <w:snapToGrid w:val="0"/>
        <w:spacing w:line="360" w:lineRule="auto"/>
        <w:rPr>
          <w:rFonts w:hint="eastAsia" w:ascii="仿宋" w:hAnsi="仿宋" w:eastAsia="仿宋" w:cs="仿宋"/>
          <w:b/>
          <w:color w:val="auto"/>
          <w:sz w:val="28"/>
          <w:szCs w:val="28"/>
          <w:highlight w:val="none"/>
        </w:rPr>
      </w:pPr>
    </w:p>
    <w:p w14:paraId="280B16B9">
      <w:pPr>
        <w:wordWrap w:val="0"/>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3277870</wp:posOffset>
                </wp:positionH>
                <wp:positionV relativeFrom="page">
                  <wp:posOffset>5389245</wp:posOffset>
                </wp:positionV>
                <wp:extent cx="2333625" cy="1584325"/>
                <wp:effectExtent l="4445" t="4445" r="5080" b="11430"/>
                <wp:wrapNone/>
                <wp:docPr id="1" name="自选图形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D66449D">
                            <w:pPr>
                              <w:jc w:val="center"/>
                              <w:rPr>
                                <w:rFonts w:hAnsi="宋体"/>
                                <w:szCs w:val="21"/>
                              </w:rPr>
                            </w:pPr>
                          </w:p>
                          <w:p w14:paraId="669E48FB">
                            <w:pPr>
                              <w:jc w:val="center"/>
                              <w:rPr>
                                <w:rFonts w:hAnsi="宋体"/>
                                <w:szCs w:val="21"/>
                              </w:rPr>
                            </w:pPr>
                          </w:p>
                          <w:p w14:paraId="5B1C824E">
                            <w:pPr>
                              <w:jc w:val="center"/>
                              <w:rPr>
                                <w:rFonts w:hint="eastAsia" w:eastAsia="仿宋"/>
                              </w:rPr>
                            </w:pPr>
                            <w:r>
                              <w:rPr>
                                <w:rFonts w:hint="eastAsia" w:ascii="仿宋" w:hAnsi="仿宋" w:eastAsia="仿宋" w:cs="仿宋"/>
                                <w:b/>
                                <w:bCs/>
                                <w:szCs w:val="21"/>
                              </w:rPr>
                              <w:t>身份证复印件</w:t>
                            </w:r>
                            <w:r>
                              <w:rPr>
                                <w:rFonts w:hint="eastAsia" w:ascii="仿宋" w:hAnsi="仿宋" w:eastAsia="仿宋" w:cs="仿宋"/>
                                <w:b/>
                                <w:bCs/>
                                <w:szCs w:val="21"/>
                                <w:u w:val="single"/>
                              </w:rPr>
                              <w:t>国徽一面</w:t>
                            </w:r>
                          </w:p>
                        </w:txbxContent>
                      </wps:txbx>
                      <wps:bodyPr wrap="square" upright="1"/>
                    </wps:wsp>
                  </a:graphicData>
                </a:graphic>
              </wp:anchor>
            </w:drawing>
          </mc:Choice>
          <mc:Fallback>
            <w:pict>
              <v:shape id="自选图形 5" o:spid="_x0000_s1026" o:spt="176" type="#_x0000_t176" style="position:absolute;left:0pt;margin-left:258.1pt;margin-top:424.35pt;height:124.75pt;width:183.75pt;mso-position-vertical-relative:page;z-index:251660288;mso-width-relative:page;mso-height-relative:page;" fillcolor="#FFFFFF" filled="t" stroked="t" coordsize="21600,21600" o:gfxdata="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4rUuS9kAAAAMAQAADwAAAAAAAAABACAAAAAiAAAAZHJzL2Rvd25yZXYueG1sUEsBAhQAFAAAAAgA&#10;h07iQJAgUCUkAgAAUwQAAA4AAAAAAAAAAQAgAAAAKAEAAGRycy9lMm9Eb2MueG1sUEsFBgAAAAAG&#10;AAYAWQEAAL4FAAAAAA==&#10;">
                <v:fill on="t" focussize="0,0"/>
                <v:stroke color="#000000" joinstyle="miter"/>
                <v:imagedata o:title=""/>
                <o:lock v:ext="edit" aspectratio="f"/>
                <v:textbox>
                  <w:txbxContent>
                    <w:p w14:paraId="4D66449D">
                      <w:pPr>
                        <w:jc w:val="center"/>
                        <w:rPr>
                          <w:rFonts w:hAnsi="宋体"/>
                          <w:szCs w:val="21"/>
                        </w:rPr>
                      </w:pPr>
                    </w:p>
                    <w:p w14:paraId="669E48FB">
                      <w:pPr>
                        <w:jc w:val="center"/>
                        <w:rPr>
                          <w:rFonts w:hAnsi="宋体"/>
                          <w:szCs w:val="21"/>
                        </w:rPr>
                      </w:pPr>
                    </w:p>
                    <w:p w14:paraId="5B1C824E">
                      <w:pPr>
                        <w:jc w:val="center"/>
                        <w:rPr>
                          <w:rFonts w:hint="eastAsia" w:eastAsia="仿宋"/>
                        </w:rPr>
                      </w:pPr>
                      <w:r>
                        <w:rPr>
                          <w:rFonts w:hint="eastAsia" w:ascii="仿宋" w:hAnsi="仿宋" w:eastAsia="仿宋" w:cs="仿宋"/>
                          <w:b/>
                          <w:bCs/>
                          <w:szCs w:val="21"/>
                        </w:rPr>
                        <w:t>身份证复印件</w:t>
                      </w:r>
                      <w:r>
                        <w:rPr>
                          <w:rFonts w:hint="eastAsia" w:ascii="仿宋" w:hAnsi="仿宋" w:eastAsia="仿宋" w:cs="仿宋"/>
                          <w:b/>
                          <w:bCs/>
                          <w:szCs w:val="21"/>
                          <w:u w:val="single"/>
                        </w:rPr>
                        <w:t>国徽一面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200025</wp:posOffset>
                </wp:positionH>
                <wp:positionV relativeFrom="paragraph">
                  <wp:posOffset>50800</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94ACE9A">
                            <w:pPr>
                              <w:jc w:val="center"/>
                              <w:rPr>
                                <w:rFonts w:hAnsi="宋体"/>
                                <w:szCs w:val="21"/>
                              </w:rPr>
                            </w:pPr>
                          </w:p>
                          <w:p w14:paraId="02B29E02">
                            <w:pPr>
                              <w:jc w:val="center"/>
                              <w:rPr>
                                <w:rFonts w:hAnsi="宋体"/>
                                <w:szCs w:val="21"/>
                              </w:rPr>
                            </w:pPr>
                          </w:p>
                          <w:p w14:paraId="039AD40C">
                            <w:pPr>
                              <w:jc w:val="center"/>
                              <w:rPr>
                                <w:rFonts w:hint="eastAsia" w:eastAsia="仿宋"/>
                              </w:rPr>
                            </w:pPr>
                            <w:r>
                              <w:rPr>
                                <w:rFonts w:hint="eastAsia" w:ascii="仿宋" w:hAnsi="仿宋" w:eastAsia="仿宋" w:cs="仿宋"/>
                                <w:b/>
                                <w:bCs/>
                                <w:szCs w:val="21"/>
                              </w:rPr>
                              <w:t>身份证复印件</w:t>
                            </w:r>
                            <w:r>
                              <w:rPr>
                                <w:rFonts w:hint="eastAsia" w:ascii="仿宋" w:hAnsi="仿宋" w:eastAsia="仿宋" w:cs="仿宋"/>
                                <w:b/>
                                <w:bCs/>
                                <w:szCs w:val="21"/>
                                <w:u w:val="single"/>
                              </w:rPr>
                              <w:t>相片一面</w:t>
                            </w:r>
                          </w:p>
                        </w:txbxContent>
                      </wps:txbx>
                      <wps:bodyPr wrap="square" upright="1"/>
                    </wps:wsp>
                  </a:graphicData>
                </a:graphic>
              </wp:anchor>
            </w:drawing>
          </mc:Choice>
          <mc:Fallback>
            <w:pict>
              <v:shape id="_x0000_s1026" o:spid="_x0000_s1026" o:spt="176" type="#_x0000_t176" style="position:absolute;left:0pt;margin-left:15.75pt;margin-top:4pt;height:124.75pt;width:183.75pt;z-index:251659264;mso-width-relative:page;mso-height-relative:page;" fillcolor="#FFFFFF" filled="t" stroked="t" coordsize="21600,21600" o:gfxdata="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mhetV1wAAAAgBAAAPAAAAAAAAAAEAIAAAACIAAABkcnMvZG93bnJl&#10;di54bWxQSwECFAAUAAAACACHTuJA7BlMdTcCAABsBAAADgAAAAAAAAABACAAAAAmAQAAZHJzL2Uy&#10;b0RvYy54bWxQSwUGAAAAAAYABgBZAQAAzwUAAAAA&#10;">
                <v:fill on="t" focussize="0,0"/>
                <v:stroke color="#000000" joinstyle="miter"/>
                <v:imagedata o:title=""/>
                <o:lock v:ext="edit" aspectratio="f"/>
                <v:textbox>
                  <w:txbxContent>
                    <w:p w14:paraId="194ACE9A">
                      <w:pPr>
                        <w:jc w:val="center"/>
                        <w:rPr>
                          <w:rFonts w:hAnsi="宋体"/>
                          <w:szCs w:val="21"/>
                        </w:rPr>
                      </w:pPr>
                    </w:p>
                    <w:p w14:paraId="02B29E02">
                      <w:pPr>
                        <w:jc w:val="center"/>
                        <w:rPr>
                          <w:rFonts w:hAnsi="宋体"/>
                          <w:szCs w:val="21"/>
                        </w:rPr>
                      </w:pPr>
                    </w:p>
                    <w:p w14:paraId="039AD40C">
                      <w:pPr>
                        <w:jc w:val="center"/>
                        <w:rPr>
                          <w:rFonts w:hint="eastAsia" w:eastAsia="仿宋"/>
                        </w:rPr>
                      </w:pPr>
                      <w:r>
                        <w:rPr>
                          <w:rFonts w:hint="eastAsia" w:ascii="仿宋" w:hAnsi="仿宋" w:eastAsia="仿宋" w:cs="仿宋"/>
                          <w:b/>
                          <w:bCs/>
                          <w:szCs w:val="21"/>
                        </w:rPr>
                        <w:t>身份证复印件</w:t>
                      </w:r>
                      <w:r>
                        <w:rPr>
                          <w:rFonts w:hint="eastAsia" w:ascii="仿宋" w:hAnsi="仿宋" w:eastAsia="仿宋" w:cs="仿宋"/>
                          <w:b/>
                          <w:bCs/>
                          <w:szCs w:val="21"/>
                          <w:u w:val="single"/>
                        </w:rPr>
                        <w:t>相片一面</w:t>
                      </w:r>
                    </w:p>
                  </w:txbxContent>
                </v:textbox>
              </v:shape>
            </w:pict>
          </mc:Fallback>
        </mc:AlternateContent>
      </w:r>
    </w:p>
    <w:p w14:paraId="0AE02136">
      <w:pPr>
        <w:wordWrap w:val="0"/>
        <w:adjustRightInd w:val="0"/>
        <w:snapToGrid w:val="0"/>
        <w:spacing w:line="360" w:lineRule="auto"/>
        <w:rPr>
          <w:rFonts w:hint="eastAsia" w:ascii="仿宋" w:hAnsi="仿宋" w:eastAsia="仿宋" w:cs="仿宋"/>
          <w:b/>
          <w:color w:val="auto"/>
          <w:sz w:val="28"/>
          <w:szCs w:val="28"/>
          <w:highlight w:val="none"/>
        </w:rPr>
      </w:pPr>
    </w:p>
    <w:p w14:paraId="7DB85F57">
      <w:pPr>
        <w:wordWrap w:val="0"/>
        <w:adjustRightInd w:val="0"/>
        <w:snapToGrid w:val="0"/>
        <w:spacing w:line="360" w:lineRule="auto"/>
        <w:rPr>
          <w:rFonts w:hint="eastAsia" w:ascii="仿宋" w:hAnsi="仿宋" w:eastAsia="仿宋" w:cs="仿宋"/>
          <w:b/>
          <w:color w:val="auto"/>
          <w:sz w:val="28"/>
          <w:szCs w:val="28"/>
          <w:highlight w:val="none"/>
        </w:rPr>
      </w:pPr>
    </w:p>
    <w:p w14:paraId="25F26386">
      <w:pPr>
        <w:wordWrap w:val="0"/>
        <w:adjustRightInd w:val="0"/>
        <w:snapToGrid w:val="0"/>
        <w:spacing w:line="360" w:lineRule="auto"/>
        <w:rPr>
          <w:rFonts w:hint="eastAsia" w:ascii="仿宋" w:hAnsi="仿宋" w:eastAsia="仿宋" w:cs="仿宋"/>
          <w:b/>
          <w:color w:val="auto"/>
          <w:sz w:val="28"/>
          <w:szCs w:val="28"/>
          <w:highlight w:val="none"/>
        </w:rPr>
      </w:pPr>
    </w:p>
    <w:p w14:paraId="1B4CA14A">
      <w:pPr>
        <w:wordWrap w:val="0"/>
        <w:adjustRightInd w:val="0"/>
        <w:snapToGrid w:val="0"/>
        <w:spacing w:line="360" w:lineRule="auto"/>
        <w:rPr>
          <w:rFonts w:hint="eastAsia" w:ascii="仿宋" w:hAnsi="仿宋" w:eastAsia="仿宋" w:cs="仿宋"/>
          <w:b/>
          <w:color w:val="auto"/>
          <w:sz w:val="28"/>
          <w:szCs w:val="28"/>
          <w:highlight w:val="none"/>
        </w:rPr>
      </w:pPr>
    </w:p>
    <w:p w14:paraId="5621C625">
      <w:pPr>
        <w:wordWrap w:val="0"/>
        <w:adjustRightInd w:val="0"/>
        <w:snapToGrid w:val="0"/>
        <w:spacing w:line="360" w:lineRule="auto"/>
        <w:rPr>
          <w:rFonts w:hint="eastAsia" w:ascii="仿宋" w:hAnsi="仿宋" w:eastAsia="仿宋" w:cs="仿宋"/>
          <w:b/>
          <w:color w:val="auto"/>
          <w:sz w:val="28"/>
          <w:szCs w:val="28"/>
          <w:highlight w:val="none"/>
        </w:rPr>
      </w:pPr>
    </w:p>
    <w:p w14:paraId="27249969">
      <w:pPr>
        <w:wordWrap w:val="0"/>
        <w:adjustRightInd w:val="0"/>
        <w:snapToGrid w:val="0"/>
        <w:spacing w:line="360" w:lineRule="auto"/>
        <w:rPr>
          <w:rFonts w:hint="eastAsia" w:ascii="仿宋" w:hAnsi="仿宋" w:eastAsia="仿宋" w:cs="仿宋"/>
          <w:b/>
          <w:color w:val="auto"/>
          <w:sz w:val="28"/>
          <w:szCs w:val="28"/>
          <w:highlight w:val="none"/>
        </w:rPr>
      </w:pPr>
    </w:p>
    <w:p w14:paraId="21E2A2E0">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spacing w:line="360" w:lineRule="auto"/>
        <w:rPr>
          <w:rFonts w:hint="eastAsia" w:ascii="仿宋" w:hAnsi="仿宋" w:eastAsia="仿宋" w:cs="仿宋"/>
          <w:color w:val="auto"/>
          <w:sz w:val="28"/>
          <w:szCs w:val="28"/>
          <w:highlight w:val="none"/>
        </w:rPr>
      </w:pPr>
    </w:p>
    <w:p w14:paraId="17BEC564">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spacing w:line="360" w:lineRule="auto"/>
        <w:rPr>
          <w:rFonts w:hint="eastAsia" w:ascii="仿宋" w:hAnsi="仿宋" w:eastAsia="仿宋" w:cs="仿宋"/>
          <w:b/>
          <w:color w:val="auto"/>
          <w:sz w:val="24"/>
          <w:highlight w:val="none"/>
        </w:rPr>
      </w:pPr>
    </w:p>
    <w:p w14:paraId="728A9DC6">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spacing w:line="360" w:lineRule="auto"/>
        <w:rPr>
          <w:rFonts w:hint="eastAsia" w:ascii="仿宋" w:hAnsi="仿宋" w:eastAsia="仿宋" w:cs="仿宋"/>
          <w:b/>
          <w:color w:val="auto"/>
          <w:sz w:val="24"/>
          <w:highlight w:val="none"/>
        </w:rPr>
      </w:pPr>
    </w:p>
    <w:p w14:paraId="294A958A">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spacing w:line="360" w:lineRule="auto"/>
        <w:rPr>
          <w:rFonts w:hint="eastAsia" w:ascii="仿宋" w:hAnsi="仿宋" w:eastAsia="仿宋" w:cs="仿宋"/>
          <w:b/>
          <w:color w:val="auto"/>
          <w:sz w:val="24"/>
          <w:highlight w:val="none"/>
        </w:rPr>
      </w:pPr>
    </w:p>
    <w:p w14:paraId="78C2DC71">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spacing w:line="360" w:lineRule="auto"/>
        <w:rPr>
          <w:rFonts w:hint="eastAsia" w:ascii="仿宋" w:hAnsi="仿宋" w:eastAsia="仿宋" w:cs="仿宋"/>
          <w:b/>
          <w:color w:val="auto"/>
          <w:sz w:val="24"/>
          <w:highlight w:val="none"/>
        </w:rPr>
      </w:pPr>
    </w:p>
    <w:p w14:paraId="5C0D4113">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spacing w:line="360" w:lineRule="auto"/>
        <w:rPr>
          <w:rFonts w:hint="eastAsia" w:ascii="仿宋" w:hAnsi="仿宋" w:eastAsia="仿宋" w:cs="仿宋"/>
          <w:b/>
          <w:color w:val="auto"/>
          <w:sz w:val="24"/>
          <w:highlight w:val="none"/>
        </w:rPr>
      </w:pPr>
    </w:p>
    <w:p w14:paraId="71AAA2A7">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28"/>
          <w:szCs w:val="28"/>
          <w:highlight w:val="none"/>
        </w:rPr>
        <w:t>法定代表人/负责人授权委托书</w:t>
      </w:r>
    </w:p>
    <w:p w14:paraId="3CB0F9E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spacing w:line="360" w:lineRule="auto"/>
        <w:rPr>
          <w:rFonts w:hint="eastAsia" w:ascii="仿宋" w:hAnsi="仿宋" w:eastAsia="仿宋" w:cs="仿宋"/>
          <w:b/>
          <w:color w:val="auto"/>
          <w:sz w:val="24"/>
          <w:highlight w:val="none"/>
        </w:rPr>
      </w:pPr>
    </w:p>
    <w:p w14:paraId="5C4C8ABB">
      <w:pPr>
        <w:wordWrap w:val="0"/>
        <w:adjustRightInd w:val="0"/>
        <w:snapToGrid w:val="0"/>
        <w:spacing w:line="360" w:lineRule="auto"/>
        <w:ind w:firstLine="120" w:firstLineChars="50"/>
        <w:rPr>
          <w:rFonts w:hint="eastAsia" w:ascii="仿宋" w:hAnsi="仿宋" w:eastAsia="仿宋" w:cs="仿宋"/>
          <w:color w:val="auto"/>
          <w:szCs w:val="21"/>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佛山市南海区桂城街叠南社区居民委员会</w:t>
      </w:r>
      <w:r>
        <w:rPr>
          <w:rFonts w:hint="eastAsia" w:ascii="仿宋" w:hAnsi="仿宋" w:eastAsia="仿宋" w:cs="仿宋"/>
          <w:color w:val="auto"/>
          <w:sz w:val="24"/>
          <w:highlight w:val="none"/>
        </w:rPr>
        <w:t>：</w:t>
      </w:r>
      <w:r>
        <w:rPr>
          <w:rFonts w:hint="eastAsia" w:ascii="仿宋" w:hAnsi="仿宋" w:eastAsia="仿宋" w:cs="仿宋"/>
          <w:color w:val="auto"/>
          <w:szCs w:val="21"/>
          <w:highlight w:val="none"/>
        </w:rPr>
        <w:t xml:space="preserve"> </w:t>
      </w:r>
    </w:p>
    <w:p w14:paraId="5A4929BD">
      <w:pPr>
        <w:wordWrap w:val="0"/>
        <w:adjustRightInd w:val="0"/>
        <w:snapToGrid w:val="0"/>
        <w:ind w:firstLine="480" w:firstLineChars="200"/>
        <w:rPr>
          <w:rFonts w:hint="eastAsia" w:ascii="仿宋" w:hAnsi="仿宋" w:eastAsia="仿宋" w:cs="仿宋"/>
          <w:color w:val="auto"/>
          <w:sz w:val="24"/>
          <w:highlight w:val="none"/>
        </w:rPr>
      </w:pPr>
    </w:p>
    <w:p w14:paraId="2FB2C3B0">
      <w:pPr>
        <w:wordWrap w:val="0"/>
        <w:adjustRightInd w:val="0"/>
        <w:snapToGrid w:val="0"/>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兹授权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同志，为我方签订经济合同及办理其他事务代理人，其权限是：</w:t>
      </w:r>
      <w:r>
        <w:rPr>
          <w:rFonts w:hint="eastAsia" w:ascii="仿宋" w:hAnsi="仿宋" w:eastAsia="仿宋" w:cs="仿宋"/>
          <w:color w:val="auto"/>
          <w:sz w:val="24"/>
          <w:highlight w:val="none"/>
          <w:u w:val="single"/>
        </w:rPr>
        <w:t xml:space="preserve">              。</w:t>
      </w:r>
    </w:p>
    <w:p w14:paraId="00BCCF4B">
      <w:pPr>
        <w:wordWrap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授权单位：</w:t>
      </w:r>
      <w:r>
        <w:rPr>
          <w:rFonts w:hint="eastAsia" w:ascii="仿宋" w:hAnsi="仿宋" w:eastAsia="仿宋" w:cs="仿宋"/>
          <w:color w:val="auto"/>
          <w:sz w:val="24"/>
          <w:highlight w:val="none"/>
          <w:u w:val="single"/>
        </w:rPr>
        <w:t xml:space="preserve">          （盖章）     </w:t>
      </w:r>
      <w:r>
        <w:rPr>
          <w:rFonts w:hint="eastAsia" w:ascii="仿宋" w:hAnsi="仿宋" w:eastAsia="仿宋" w:cs="仿宋"/>
          <w:color w:val="auto"/>
          <w:sz w:val="24"/>
          <w:highlight w:val="none"/>
        </w:rPr>
        <w:t>法定代表人/负责人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（签名或盖私章）</w:t>
      </w:r>
    </w:p>
    <w:p w14:paraId="16779715">
      <w:pPr>
        <w:wordWrap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签发日期：</w:t>
      </w:r>
    </w:p>
    <w:p w14:paraId="30893DE6">
      <w:pPr>
        <w:wordWrap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附：法定代表人/负责人授权代表的性别：        年龄：       职务：         </w:t>
      </w:r>
    </w:p>
    <w:p w14:paraId="38FD31FE">
      <w:pPr>
        <w:wordWrap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p>
    <w:p w14:paraId="3EBF3037">
      <w:pPr>
        <w:wordWrap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联系电话：</w:t>
      </w:r>
    </w:p>
    <w:p w14:paraId="6B31A46B">
      <w:pPr>
        <w:wordWrap w:val="0"/>
        <w:adjustRightInd w:val="0"/>
        <w:snapToGrid w:val="0"/>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营业执照号码：       经济性质：</w:t>
      </w:r>
    </w:p>
    <w:p w14:paraId="3C6DD98E">
      <w:pPr>
        <w:wordWrap w:val="0"/>
        <w:adjustRightInd w:val="0"/>
        <w:snapToGrid w:val="0"/>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主营（产）：</w:t>
      </w:r>
    </w:p>
    <w:p w14:paraId="68DB71A9">
      <w:pPr>
        <w:wordWrap w:val="0"/>
        <w:adjustRightInd w:val="0"/>
        <w:snapToGrid w:val="0"/>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兼营（产）：</w:t>
      </w:r>
    </w:p>
    <w:p w14:paraId="2F85AC6A">
      <w:pPr>
        <w:wordWrap w:val="0"/>
        <w:adjustRightInd w:val="0"/>
        <w:snapToGrid w:val="0"/>
        <w:ind w:firstLine="240" w:firstLineChars="100"/>
        <w:rPr>
          <w:rFonts w:hint="eastAsia" w:ascii="仿宋" w:hAnsi="仿宋" w:eastAsia="仿宋" w:cs="仿宋"/>
          <w:color w:val="auto"/>
          <w:sz w:val="24"/>
          <w:highlight w:val="none"/>
        </w:rPr>
      </w:pPr>
    </w:p>
    <w:p w14:paraId="56C9DC19">
      <w:pPr>
        <w:wordWrap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说明：1.法定代表人/负责人为企业事业单位、国家机关、社会团体的主要行政负责人。</w:t>
      </w:r>
    </w:p>
    <w:p w14:paraId="73C9900B">
      <w:pPr>
        <w:wordWrap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2.内容必须填写真实、清楚、涂改无效，不得转让、买卖。</w:t>
      </w:r>
    </w:p>
    <w:p w14:paraId="34D1C2AA">
      <w:pPr>
        <w:wordWrap w:val="0"/>
        <w:adjustRightInd w:val="0"/>
        <w:snapToGrid w:val="0"/>
        <w:ind w:firstLine="720" w:firstLineChars="300"/>
        <w:rPr>
          <w:rFonts w:hint="eastAsia" w:ascii="仿宋" w:hAnsi="仿宋" w:eastAsia="仿宋" w:cs="仿宋"/>
          <w:b/>
          <w:color w:val="auto"/>
          <w:sz w:val="24"/>
          <w:highlight w:val="none"/>
        </w:rPr>
      </w:pPr>
      <w:r>
        <w:rPr>
          <w:rFonts w:hint="eastAsia" w:ascii="仿宋" w:hAnsi="仿宋" w:eastAsia="仿宋" w:cs="仿宋"/>
          <w:color w:val="auto"/>
          <w:sz w:val="24"/>
          <w:highlight w:val="none"/>
        </w:rPr>
        <w:t>3.将此证明书提交对方作为合同附件</w:t>
      </w:r>
      <w:r>
        <w:rPr>
          <w:rFonts w:hint="eastAsia" w:ascii="仿宋" w:hAnsi="仿宋" w:eastAsia="仿宋" w:cs="仿宋"/>
          <w:bCs/>
          <w:color w:val="auto"/>
          <w:sz w:val="24"/>
          <w:highlight w:val="none"/>
        </w:rPr>
        <w:t>。</w:t>
      </w:r>
    </w:p>
    <w:p w14:paraId="0B984B0D">
      <w:pPr>
        <w:wordWrap w:val="0"/>
        <w:adjustRightInd w:val="0"/>
        <w:snapToGrid w:val="0"/>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4.授权权限：全权代表本公司参与上述</w:t>
      </w:r>
      <w:r>
        <w:rPr>
          <w:rFonts w:hint="eastAsia" w:ascii="仿宋" w:hAnsi="仿宋" w:eastAsia="仿宋" w:cs="仿宋"/>
          <w:color w:val="auto"/>
          <w:sz w:val="24"/>
          <w:highlight w:val="none"/>
          <w:lang w:eastAsia="zh-CN"/>
        </w:rPr>
        <w:t>采购项目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投标响应</w:t>
      </w:r>
      <w:r>
        <w:rPr>
          <w:rFonts w:hint="eastAsia" w:ascii="仿宋" w:hAnsi="仿宋" w:eastAsia="仿宋" w:cs="仿宋"/>
          <w:color w:val="auto"/>
          <w:sz w:val="24"/>
          <w:highlight w:val="none"/>
        </w:rPr>
        <w:t>，负责提供与签署确认一切文书资料，以及向贵方递交的任何补充承诺。</w:t>
      </w:r>
    </w:p>
    <w:p w14:paraId="11D86C15">
      <w:pPr>
        <w:wordWrap w:val="0"/>
        <w:adjustRightInd w:val="0"/>
        <w:snapToGrid w:val="0"/>
        <w:ind w:firstLine="736" w:firstLineChars="307"/>
        <w:rPr>
          <w:rFonts w:hint="eastAsia" w:ascii="仿宋" w:hAnsi="仿宋" w:eastAsia="仿宋" w:cs="仿宋"/>
          <w:color w:val="auto"/>
          <w:sz w:val="24"/>
          <w:highlight w:val="none"/>
        </w:rPr>
      </w:pPr>
      <w:r>
        <w:rPr>
          <w:rFonts w:hint="eastAsia" w:ascii="仿宋" w:hAnsi="仿宋" w:eastAsia="仿宋" w:cs="仿宋"/>
          <w:color w:val="auto"/>
          <w:sz w:val="24"/>
          <w:highlight w:val="none"/>
        </w:rPr>
        <w:t>5.有效期限：与本公司</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中标注的</w:t>
      </w:r>
      <w:r>
        <w:rPr>
          <w:rFonts w:hint="eastAsia" w:ascii="仿宋" w:hAnsi="仿宋" w:eastAsia="仿宋" w:cs="仿宋"/>
          <w:color w:val="auto"/>
          <w:sz w:val="24"/>
          <w:highlight w:val="none"/>
          <w:lang w:eastAsia="zh-CN"/>
        </w:rPr>
        <w:t>投标有效期</w:t>
      </w:r>
      <w:r>
        <w:rPr>
          <w:rFonts w:hint="eastAsia" w:ascii="仿宋" w:hAnsi="仿宋" w:eastAsia="仿宋" w:cs="仿宋"/>
          <w:color w:val="auto"/>
          <w:sz w:val="24"/>
          <w:highlight w:val="none"/>
        </w:rPr>
        <w:t>相同，自本单位盖公章之日起生效。</w:t>
      </w:r>
    </w:p>
    <w:p w14:paraId="17BE93B0">
      <w:pPr>
        <w:wordWrap w:val="0"/>
        <w:adjustRightInd w:val="0"/>
        <w:snapToGrid w:val="0"/>
        <w:ind w:firstLine="736" w:firstLineChars="307"/>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签字代表为法定代表人/负责人，则本表不适用。</w:t>
      </w:r>
    </w:p>
    <w:p w14:paraId="35B4ECA5">
      <w:pPr>
        <w:pStyle w:val="2"/>
        <w:keepNext w:val="0"/>
        <w:keepLines w:val="0"/>
        <w:wordWrap w:val="0"/>
        <w:adjustRightInd w:val="0"/>
        <w:snapToGrid w:val="0"/>
        <w:jc w:val="both"/>
        <w:rPr>
          <w:rFonts w:hint="eastAsia" w:ascii="仿宋" w:hAnsi="仿宋" w:eastAsia="仿宋" w:cs="仿宋"/>
          <w:color w:val="auto"/>
          <w:highlight w:val="none"/>
        </w:rPr>
      </w:pPr>
    </w:p>
    <w:p w14:paraId="45CF9A6C">
      <w:pPr>
        <w:wordWrap w:val="0"/>
        <w:adjustRightInd w:val="0"/>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(为避免废标，请</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务必提供本附件)</w:t>
      </w:r>
    </w:p>
    <w:p w14:paraId="265EF5D6">
      <w:pPr>
        <w:wordWrap w:val="0"/>
        <w:adjustRightInd w:val="0"/>
        <w:snapToGrid w:val="0"/>
        <w:spacing w:line="360" w:lineRule="auto"/>
        <w:rPr>
          <w:rFonts w:hint="eastAsia" w:ascii="仿宋" w:hAnsi="仿宋" w:eastAsia="仿宋" w:cs="仿宋"/>
          <w:b/>
          <w:color w:val="auto"/>
          <w:sz w:val="28"/>
          <w:szCs w:val="28"/>
          <w:highlight w:val="none"/>
        </w:rPr>
      </w:pPr>
    </w:p>
    <w:p w14:paraId="7BF3D6B9">
      <w:pPr>
        <w:wordWrap w:val="0"/>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3270885</wp:posOffset>
                </wp:positionH>
                <wp:positionV relativeFrom="page">
                  <wp:posOffset>6913880</wp:posOffset>
                </wp:positionV>
                <wp:extent cx="2333625" cy="1584325"/>
                <wp:effectExtent l="4445" t="4445" r="5080" b="11430"/>
                <wp:wrapNone/>
                <wp:docPr id="4" name="自选图形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3AB81CA">
                            <w:pPr>
                              <w:jc w:val="center"/>
                              <w:rPr>
                                <w:rFonts w:hAnsi="宋体"/>
                                <w:szCs w:val="21"/>
                              </w:rPr>
                            </w:pPr>
                          </w:p>
                          <w:p w14:paraId="41FB7D63">
                            <w:pPr>
                              <w:jc w:val="center"/>
                              <w:rPr>
                                <w:rFonts w:hAnsi="宋体"/>
                                <w:szCs w:val="21"/>
                              </w:rPr>
                            </w:pPr>
                          </w:p>
                          <w:p w14:paraId="24067348">
                            <w:pPr>
                              <w:jc w:val="center"/>
                              <w:rPr>
                                <w:rFonts w:hint="eastAsia" w:eastAsia="仿宋"/>
                              </w:rPr>
                            </w:pPr>
                            <w:r>
                              <w:rPr>
                                <w:rFonts w:hint="eastAsia" w:ascii="仿宋" w:hAnsi="仿宋" w:eastAsia="仿宋" w:cs="仿宋"/>
                                <w:b/>
                                <w:bCs/>
                                <w:szCs w:val="21"/>
                              </w:rPr>
                              <w:t>身份证复印件</w:t>
                            </w:r>
                            <w:r>
                              <w:rPr>
                                <w:rFonts w:hint="eastAsia" w:ascii="仿宋" w:hAnsi="仿宋" w:eastAsia="仿宋" w:cs="仿宋"/>
                                <w:b/>
                                <w:bCs/>
                                <w:szCs w:val="21"/>
                                <w:u w:val="single"/>
                              </w:rPr>
                              <w:t>国徽一面</w:t>
                            </w:r>
                          </w:p>
                        </w:txbxContent>
                      </wps:txbx>
                      <wps:bodyPr wrap="square" upright="1"/>
                    </wps:wsp>
                  </a:graphicData>
                </a:graphic>
              </wp:anchor>
            </w:drawing>
          </mc:Choice>
          <mc:Fallback>
            <w:pict>
              <v:shape id="自选图形 7" o:spid="_x0000_s1026" o:spt="176" type="#_x0000_t176" style="position:absolute;left:0pt;margin-left:257.55pt;margin-top:544.4pt;height:124.75pt;width:183.75pt;mso-position-vertical-relative:page;z-index:251662336;mso-width-relative:page;mso-height-relative:page;" fillcolor="#FFFFFF" filled="t" stroked="t" coordsize="21600,21600" o:gfxdata="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olX+NkAAAANAQAADwAAAAAAAAABACAAAAAiAAAAZHJzL2Rvd25yZXYueG1sUEsBAhQAFAAAAAgA&#10;h07iQOTh7QUkAgAAUwQAAA4AAAAAAAAAAQAgAAAAKAEAAGRycy9lMm9Eb2MueG1sUEsFBgAAAAAG&#10;AAYAWQEAAL4FAAAAAA==&#10;">
                <v:fill on="t" focussize="0,0"/>
                <v:stroke color="#000000" joinstyle="miter"/>
                <v:imagedata o:title=""/>
                <o:lock v:ext="edit" aspectratio="f"/>
                <v:textbox>
                  <w:txbxContent>
                    <w:p w14:paraId="43AB81CA">
                      <w:pPr>
                        <w:jc w:val="center"/>
                        <w:rPr>
                          <w:rFonts w:hAnsi="宋体"/>
                          <w:szCs w:val="21"/>
                        </w:rPr>
                      </w:pPr>
                    </w:p>
                    <w:p w14:paraId="41FB7D63">
                      <w:pPr>
                        <w:jc w:val="center"/>
                        <w:rPr>
                          <w:rFonts w:hAnsi="宋体"/>
                          <w:szCs w:val="21"/>
                        </w:rPr>
                      </w:pPr>
                    </w:p>
                    <w:p w14:paraId="24067348">
                      <w:pPr>
                        <w:jc w:val="center"/>
                        <w:rPr>
                          <w:rFonts w:hint="eastAsia" w:eastAsia="仿宋"/>
                        </w:rPr>
                      </w:pPr>
                      <w:r>
                        <w:rPr>
                          <w:rFonts w:hint="eastAsia" w:ascii="仿宋" w:hAnsi="仿宋" w:eastAsia="仿宋" w:cs="仿宋"/>
                          <w:b/>
                          <w:bCs/>
                          <w:szCs w:val="21"/>
                        </w:rPr>
                        <w:t>身份证复印件</w:t>
                      </w:r>
                      <w:r>
                        <w:rPr>
                          <w:rFonts w:hint="eastAsia" w:ascii="仿宋" w:hAnsi="仿宋" w:eastAsia="仿宋" w:cs="仿宋"/>
                          <w:b/>
                          <w:bCs/>
                          <w:szCs w:val="21"/>
                          <w:u w:val="single"/>
                        </w:rPr>
                        <w:t>国徽一面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200025</wp:posOffset>
                </wp:positionH>
                <wp:positionV relativeFrom="paragraph">
                  <wp:posOffset>50800</wp:posOffset>
                </wp:positionV>
                <wp:extent cx="2333625" cy="1584325"/>
                <wp:effectExtent l="4445" t="4445" r="5080" b="11430"/>
                <wp:wrapNone/>
                <wp:docPr id="3"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47E4082">
                            <w:pPr>
                              <w:jc w:val="center"/>
                              <w:rPr>
                                <w:rFonts w:hAnsi="宋体"/>
                                <w:szCs w:val="21"/>
                              </w:rPr>
                            </w:pPr>
                          </w:p>
                          <w:p w14:paraId="7C16160A">
                            <w:pPr>
                              <w:jc w:val="center"/>
                              <w:rPr>
                                <w:rFonts w:hAnsi="宋体"/>
                                <w:szCs w:val="21"/>
                              </w:rPr>
                            </w:pPr>
                          </w:p>
                          <w:p w14:paraId="2B446E3B">
                            <w:pPr>
                              <w:jc w:val="center"/>
                              <w:rPr>
                                <w:rFonts w:hint="eastAsia" w:eastAsia="仿宋"/>
                              </w:rPr>
                            </w:pPr>
                            <w:r>
                              <w:rPr>
                                <w:rFonts w:hint="eastAsia" w:ascii="仿宋" w:hAnsi="仿宋" w:eastAsia="仿宋" w:cs="仿宋"/>
                                <w:b/>
                                <w:bCs/>
                                <w:szCs w:val="21"/>
                              </w:rPr>
                              <w:t>身份证复印件</w:t>
                            </w:r>
                            <w:r>
                              <w:rPr>
                                <w:rFonts w:hint="eastAsia" w:ascii="仿宋" w:hAnsi="仿宋" w:eastAsia="仿宋" w:cs="仿宋"/>
                                <w:b/>
                                <w:bCs/>
                                <w:szCs w:val="21"/>
                                <w:u w:val="single"/>
                              </w:rPr>
                              <w:t>相片一面</w:t>
                            </w:r>
                          </w:p>
                        </w:txbxContent>
                      </wps:txbx>
                      <wps:bodyPr wrap="square" upright="1"/>
                    </wps:wsp>
                  </a:graphicData>
                </a:graphic>
              </wp:anchor>
            </w:drawing>
          </mc:Choice>
          <mc:Fallback>
            <w:pict>
              <v:shape id="流程图: 可选过程 2" o:spid="_x0000_s1026" o:spt="176" type="#_x0000_t176" style="position:absolute;left:0pt;margin-left:15.75pt;margin-top:4pt;height:124.75pt;width:183.75pt;z-index:251661312;mso-width-relative:page;mso-height-relative:page;" fillcolor="#FFFFFF" filled="t" stroked="t" coordsize="21600,21600" o:gfxdata="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aF61XXAAAACAEAAA8AAAAAAAAAAQAgAAAAIgAAAGRycy9kb3ducmV2&#10;LnhtbFBLAQIUABQAAAAIAIdO4kCsM82DNgIAAGwEAAAOAAAAAAAAAAEAIAAAACYBAABkcnMvZTJv&#10;RG9jLnhtbFBLBQYAAAAABgAGAFkBAADOBQAAAAA=&#10;">
                <v:fill on="t" focussize="0,0"/>
                <v:stroke color="#000000" joinstyle="miter"/>
                <v:imagedata o:title=""/>
                <o:lock v:ext="edit" aspectratio="f"/>
                <v:textbox>
                  <w:txbxContent>
                    <w:p w14:paraId="447E4082">
                      <w:pPr>
                        <w:jc w:val="center"/>
                        <w:rPr>
                          <w:rFonts w:hAnsi="宋体"/>
                          <w:szCs w:val="21"/>
                        </w:rPr>
                      </w:pPr>
                    </w:p>
                    <w:p w14:paraId="7C16160A">
                      <w:pPr>
                        <w:jc w:val="center"/>
                        <w:rPr>
                          <w:rFonts w:hAnsi="宋体"/>
                          <w:szCs w:val="21"/>
                        </w:rPr>
                      </w:pPr>
                    </w:p>
                    <w:p w14:paraId="2B446E3B">
                      <w:pPr>
                        <w:jc w:val="center"/>
                        <w:rPr>
                          <w:rFonts w:hint="eastAsia" w:eastAsia="仿宋"/>
                        </w:rPr>
                      </w:pPr>
                      <w:r>
                        <w:rPr>
                          <w:rFonts w:hint="eastAsia" w:ascii="仿宋" w:hAnsi="仿宋" w:eastAsia="仿宋" w:cs="仿宋"/>
                          <w:b/>
                          <w:bCs/>
                          <w:szCs w:val="21"/>
                        </w:rPr>
                        <w:t>身份证复印件</w:t>
                      </w:r>
                      <w:r>
                        <w:rPr>
                          <w:rFonts w:hint="eastAsia" w:ascii="仿宋" w:hAnsi="仿宋" w:eastAsia="仿宋" w:cs="仿宋"/>
                          <w:b/>
                          <w:bCs/>
                          <w:szCs w:val="21"/>
                          <w:u w:val="single"/>
                        </w:rPr>
                        <w:t>相片一面</w:t>
                      </w:r>
                    </w:p>
                  </w:txbxContent>
                </v:textbox>
              </v:shape>
            </w:pict>
          </mc:Fallback>
        </mc:AlternateContent>
      </w:r>
    </w:p>
    <w:p w14:paraId="4A6D236E">
      <w:pPr>
        <w:wordWrap w:val="0"/>
        <w:adjustRightInd w:val="0"/>
        <w:snapToGrid w:val="0"/>
        <w:spacing w:line="360" w:lineRule="auto"/>
        <w:rPr>
          <w:rFonts w:hint="eastAsia" w:ascii="仿宋" w:hAnsi="仿宋" w:eastAsia="仿宋" w:cs="仿宋"/>
          <w:b/>
          <w:color w:val="auto"/>
          <w:sz w:val="28"/>
          <w:szCs w:val="28"/>
          <w:highlight w:val="none"/>
        </w:rPr>
      </w:pPr>
    </w:p>
    <w:p w14:paraId="58EAD7CD">
      <w:pPr>
        <w:wordWrap w:val="0"/>
        <w:adjustRightInd w:val="0"/>
        <w:snapToGrid w:val="0"/>
        <w:spacing w:line="360" w:lineRule="auto"/>
        <w:rPr>
          <w:rFonts w:hint="eastAsia" w:ascii="仿宋" w:hAnsi="仿宋" w:eastAsia="仿宋" w:cs="仿宋"/>
          <w:b/>
          <w:color w:val="auto"/>
          <w:sz w:val="28"/>
          <w:szCs w:val="28"/>
          <w:highlight w:val="none"/>
        </w:rPr>
      </w:pPr>
    </w:p>
    <w:p w14:paraId="5FA645FD">
      <w:pPr>
        <w:wordWrap w:val="0"/>
        <w:adjustRightInd w:val="0"/>
        <w:snapToGrid w:val="0"/>
        <w:spacing w:line="360" w:lineRule="auto"/>
        <w:rPr>
          <w:rFonts w:hint="eastAsia" w:ascii="仿宋" w:hAnsi="仿宋" w:eastAsia="仿宋" w:cs="仿宋"/>
          <w:b/>
          <w:color w:val="auto"/>
          <w:sz w:val="28"/>
          <w:szCs w:val="28"/>
          <w:highlight w:val="none"/>
        </w:rPr>
      </w:pPr>
    </w:p>
    <w:p w14:paraId="68489F75">
      <w:pPr>
        <w:wordWrap w:val="0"/>
        <w:adjustRightInd w:val="0"/>
        <w:snapToGrid w:val="0"/>
        <w:spacing w:line="360" w:lineRule="auto"/>
        <w:rPr>
          <w:rFonts w:hint="eastAsia" w:ascii="仿宋" w:hAnsi="仿宋" w:eastAsia="仿宋" w:cs="仿宋"/>
          <w:b/>
          <w:color w:val="auto"/>
          <w:sz w:val="28"/>
          <w:szCs w:val="28"/>
          <w:highlight w:val="none"/>
        </w:rPr>
      </w:pPr>
    </w:p>
    <w:p w14:paraId="1DEAA257">
      <w:pPr>
        <w:wordWrap w:val="0"/>
        <w:adjustRightInd w:val="0"/>
        <w:snapToGrid w:val="0"/>
        <w:spacing w:line="360" w:lineRule="auto"/>
        <w:jc w:val="center"/>
        <w:outlineLvl w:val="3"/>
        <w:rPr>
          <w:rFonts w:hint="eastAsia" w:ascii="仿宋" w:hAnsi="仿宋" w:eastAsia="仿宋" w:cs="仿宋"/>
          <w:color w:val="auto"/>
          <w:sz w:val="28"/>
          <w:szCs w:val="28"/>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kern w:val="0"/>
          <w:sz w:val="28"/>
          <w:szCs w:val="28"/>
          <w:highlight w:val="none"/>
        </w:rPr>
        <w:t>关于资格的声明函</w:t>
      </w:r>
    </w:p>
    <w:p w14:paraId="3C93339C">
      <w:pPr>
        <w:wordWrap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致</w:t>
      </w:r>
      <w:r>
        <w:rPr>
          <w:rFonts w:hint="eastAsia" w:ascii="仿宋" w:hAnsi="仿宋" w:eastAsia="仿宋" w:cs="仿宋"/>
          <w:b/>
          <w:bCs/>
          <w:color w:val="auto"/>
          <w:sz w:val="24"/>
          <w:highlight w:val="none"/>
          <w:lang w:eastAsia="zh-CN"/>
        </w:rPr>
        <w:t>佛山市南海区桂城街叠南社区居民委员会</w:t>
      </w:r>
      <w:r>
        <w:rPr>
          <w:rFonts w:hint="eastAsia" w:ascii="仿宋" w:hAnsi="仿宋" w:eastAsia="仿宋" w:cs="仿宋"/>
          <w:b/>
          <w:bCs/>
          <w:color w:val="auto"/>
          <w:sz w:val="24"/>
          <w:highlight w:val="none"/>
        </w:rPr>
        <w:t xml:space="preserve">：  </w:t>
      </w:r>
    </w:p>
    <w:p w14:paraId="02953FF2">
      <w:pPr>
        <w:wordWrap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关于贵方</w:t>
      </w:r>
      <w:r>
        <w:rPr>
          <w:rFonts w:hint="eastAsia" w:ascii="仿宋" w:hAnsi="仿宋" w:eastAsia="仿宋" w:cs="仿宋"/>
          <w:color w:val="auto"/>
          <w:sz w:val="24"/>
          <w:highlight w:val="none"/>
          <w:u w:val="single"/>
          <w:lang w:eastAsia="zh-CN"/>
        </w:rPr>
        <w:t>桂城街道叠北社区市政管理一体化服务</w:t>
      </w:r>
      <w:r>
        <w:rPr>
          <w:rFonts w:hint="eastAsia" w:ascii="仿宋" w:hAnsi="仿宋" w:eastAsia="仿宋" w:cs="仿宋"/>
          <w:color w:val="auto"/>
          <w:sz w:val="24"/>
          <w:highlight w:val="none"/>
          <w:lang w:eastAsia="zh-CN"/>
        </w:rPr>
        <w:t>投标邀请</w:t>
      </w:r>
      <w:r>
        <w:rPr>
          <w:rFonts w:hint="eastAsia" w:ascii="仿宋" w:hAnsi="仿宋" w:eastAsia="仿宋" w:cs="仿宋"/>
          <w:color w:val="auto"/>
          <w:sz w:val="24"/>
          <w:highlight w:val="none"/>
        </w:rPr>
        <w:t>，本签字人愿意</w:t>
      </w:r>
      <w:r>
        <w:rPr>
          <w:rFonts w:hint="eastAsia" w:ascii="仿宋" w:hAnsi="仿宋" w:eastAsia="仿宋" w:cs="仿宋"/>
          <w:color w:val="auto"/>
          <w:sz w:val="24"/>
          <w:highlight w:val="none"/>
          <w:lang w:eastAsia="zh-CN"/>
        </w:rPr>
        <w:t>参加投标</w:t>
      </w:r>
      <w:r>
        <w:rPr>
          <w:rFonts w:hint="eastAsia" w:ascii="仿宋" w:hAnsi="仿宋" w:eastAsia="仿宋" w:cs="仿宋"/>
          <w:color w:val="auto"/>
          <w:sz w:val="24"/>
          <w:highlight w:val="none"/>
        </w:rPr>
        <w:t>，如有欺诈、隐瞒事实违法行为，愿接受相关部门的依法处理。</w:t>
      </w:r>
    </w:p>
    <w:p w14:paraId="33F0DD9F">
      <w:pPr>
        <w:wordWrap w:val="0"/>
        <w:spacing w:line="400" w:lineRule="exact"/>
        <w:ind w:left="570"/>
        <w:rPr>
          <w:rFonts w:hint="eastAsia" w:ascii="仿宋" w:hAnsi="仿宋" w:eastAsia="仿宋" w:cs="仿宋"/>
          <w:color w:val="auto"/>
          <w:sz w:val="24"/>
          <w:highlight w:val="none"/>
        </w:rPr>
      </w:pPr>
      <w:r>
        <w:rPr>
          <w:rFonts w:hint="eastAsia" w:ascii="仿宋" w:hAnsi="仿宋" w:eastAsia="仿宋" w:cs="仿宋"/>
          <w:color w:val="auto"/>
          <w:sz w:val="24"/>
          <w:highlight w:val="none"/>
        </w:rPr>
        <w:t>一、我方对其他相关要求作以下承诺：</w:t>
      </w:r>
    </w:p>
    <w:p w14:paraId="23DD5FE2">
      <w:pPr>
        <w:wordWrap w:val="0"/>
        <w:spacing w:line="400" w:lineRule="exact"/>
        <w:ind w:left="569" w:hanging="568" w:hangingChars="237"/>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w:t>
      </w:r>
      <w:r>
        <w:rPr>
          <w:rFonts w:hint="eastAsia" w:ascii="仿宋" w:hAnsi="仿宋" w:eastAsia="仿宋" w:cs="仿宋"/>
          <w:color w:val="auto"/>
          <w:sz w:val="24"/>
          <w:highlight w:val="none"/>
          <w:u w:val="single"/>
        </w:rPr>
        <w:t>填“具有”/“不具有”</w:t>
      </w:r>
      <w:r>
        <w:rPr>
          <w:rFonts w:hint="eastAsia" w:ascii="仿宋" w:hAnsi="仿宋" w:eastAsia="仿宋" w:cs="仿宋"/>
          <w:color w:val="auto"/>
          <w:sz w:val="24"/>
          <w:highlight w:val="none"/>
        </w:rPr>
        <w:t xml:space="preserve">)独立承担民事责任的能力； </w:t>
      </w:r>
    </w:p>
    <w:p w14:paraId="1B091ACA">
      <w:pPr>
        <w:wordWrap w:val="0"/>
        <w:spacing w:line="400" w:lineRule="exact"/>
        <w:ind w:left="569" w:hanging="568" w:hangingChars="237"/>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w:t>
      </w:r>
      <w:r>
        <w:rPr>
          <w:rFonts w:hint="eastAsia" w:ascii="仿宋" w:hAnsi="仿宋" w:eastAsia="仿宋" w:cs="仿宋"/>
          <w:color w:val="auto"/>
          <w:sz w:val="24"/>
          <w:highlight w:val="none"/>
          <w:u w:val="single"/>
        </w:rPr>
        <w:t>填“符合”/“不符合”</w:t>
      </w:r>
      <w:r>
        <w:rPr>
          <w:rFonts w:hint="eastAsia" w:ascii="仿宋" w:hAnsi="仿宋" w:eastAsia="仿宋" w:cs="仿宋"/>
          <w:color w:val="auto"/>
          <w:sz w:val="24"/>
          <w:highlight w:val="none"/>
        </w:rPr>
        <w:t>)法律、行政法规规定的其他条件。</w:t>
      </w:r>
    </w:p>
    <w:p w14:paraId="3A01CFE9">
      <w:pPr>
        <w:wordWrap w:val="0"/>
        <w:spacing w:line="400" w:lineRule="exact"/>
        <w:ind w:hanging="8"/>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w:t>
      </w:r>
      <w:r>
        <w:rPr>
          <w:rFonts w:hint="eastAsia" w:ascii="仿宋" w:hAnsi="仿宋" w:eastAsia="仿宋" w:cs="仿宋"/>
          <w:color w:val="auto"/>
          <w:sz w:val="24"/>
          <w:highlight w:val="none"/>
          <w:u w:val="single"/>
        </w:rPr>
        <w:t>填“没有”/“有”)</w:t>
      </w:r>
      <w:r>
        <w:rPr>
          <w:rFonts w:hint="eastAsia" w:ascii="仿宋" w:hAnsi="仿宋" w:eastAsia="仿宋" w:cs="仿宋"/>
          <w:color w:val="auto"/>
          <w:sz w:val="24"/>
          <w:highlight w:val="none"/>
        </w:rPr>
        <w:t>被列入“失信被执行人或重大税收违法失信主体”记录名单。</w:t>
      </w:r>
    </w:p>
    <w:p w14:paraId="1B7BB928">
      <w:pPr>
        <w:wordWrap w:val="0"/>
        <w:spacing w:line="400" w:lineRule="exact"/>
        <w:ind w:left="10" w:hanging="1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lang w:eastAsia="zh-CN"/>
        </w:rPr>
        <w:t>【</w:t>
      </w:r>
      <w:r>
        <w:rPr>
          <w:rFonts w:hint="eastAsia" w:ascii="仿宋" w:hAnsi="仿宋" w:eastAsia="仿宋" w:cs="仿宋"/>
          <w:b/>
          <w:bCs/>
          <w:color w:val="auto"/>
          <w:sz w:val="24"/>
          <w:highlight w:val="none"/>
          <w:u w:val="single"/>
        </w:rPr>
        <w:t>注：投标人未被列入“信用中国”网站(https://www.creditchina.gov.cn)“失信被执行人或重大税收违法失信主体或政府采购严重违法失信行为记录名单”记录名单</w:t>
      </w:r>
      <w:r>
        <w:rPr>
          <w:rFonts w:hint="eastAsia" w:ascii="仿宋" w:hAnsi="仿宋" w:eastAsia="仿宋" w:cs="仿宋"/>
          <w:b/>
          <w:bCs/>
          <w:color w:val="auto"/>
          <w:sz w:val="24"/>
          <w:highlight w:val="none"/>
          <w:u w:val="single"/>
          <w:lang w:eastAsia="zh-CN"/>
        </w:rPr>
        <w:t>。</w:t>
      </w:r>
      <w:r>
        <w:rPr>
          <w:rFonts w:hint="eastAsia" w:ascii="仿宋" w:hAnsi="仿宋" w:eastAsia="仿宋" w:cs="仿宋"/>
          <w:b/>
          <w:bCs/>
          <w:color w:val="auto"/>
          <w:sz w:val="24"/>
          <w:highlight w:val="none"/>
          <w:u w:val="single"/>
        </w:rPr>
        <w:t>（以资格审查期间查询</w:t>
      </w:r>
      <w:r>
        <w:rPr>
          <w:rFonts w:hint="eastAsia" w:ascii="仿宋" w:hAnsi="仿宋" w:eastAsia="仿宋" w:cs="仿宋"/>
          <w:b/>
          <w:bCs/>
          <w:color w:val="auto"/>
          <w:sz w:val="24"/>
          <w:highlight w:val="none"/>
          <w:u w:val="single"/>
          <w:lang w:eastAsia="zh-CN"/>
        </w:rPr>
        <w:t>投标人</w:t>
      </w:r>
      <w:r>
        <w:rPr>
          <w:rFonts w:hint="eastAsia" w:ascii="仿宋" w:hAnsi="仿宋" w:eastAsia="仿宋" w:cs="仿宋"/>
          <w:b/>
          <w:bCs/>
          <w:color w:val="auto"/>
          <w:sz w:val="24"/>
          <w:highlight w:val="none"/>
          <w:u w:val="single"/>
        </w:rPr>
        <w:t>在“信用中国”网站查询结果为准，如相关失信记录已失效，</w:t>
      </w:r>
      <w:r>
        <w:rPr>
          <w:rFonts w:hint="eastAsia" w:ascii="仿宋" w:hAnsi="仿宋" w:eastAsia="仿宋" w:cs="仿宋"/>
          <w:b/>
          <w:bCs/>
          <w:color w:val="auto"/>
          <w:sz w:val="24"/>
          <w:highlight w:val="none"/>
          <w:u w:val="single"/>
          <w:lang w:eastAsia="zh-CN"/>
        </w:rPr>
        <w:t>投标人</w:t>
      </w:r>
      <w:r>
        <w:rPr>
          <w:rFonts w:hint="eastAsia" w:ascii="仿宋" w:hAnsi="仿宋" w:eastAsia="仿宋" w:cs="仿宋"/>
          <w:b/>
          <w:bCs/>
          <w:color w:val="auto"/>
          <w:sz w:val="24"/>
          <w:highlight w:val="none"/>
          <w:u w:val="single"/>
        </w:rPr>
        <w:t>需提供相关证明资料）。</w:t>
      </w:r>
      <w:r>
        <w:rPr>
          <w:rFonts w:hint="eastAsia" w:ascii="仿宋" w:hAnsi="仿宋" w:eastAsia="仿宋" w:cs="仿宋"/>
          <w:b/>
          <w:bCs/>
          <w:color w:val="auto"/>
          <w:sz w:val="24"/>
          <w:highlight w:val="none"/>
          <w:u w:val="single"/>
          <w:lang w:eastAsia="zh-CN"/>
        </w:rPr>
        <w:t>】</w:t>
      </w:r>
    </w:p>
    <w:p w14:paraId="32545A70">
      <w:pPr>
        <w:wordWrap w:val="0"/>
        <w:spacing w:line="400" w:lineRule="exact"/>
        <w:ind w:left="10" w:firstLine="559" w:firstLineChars="233"/>
        <w:rPr>
          <w:rFonts w:hint="eastAsia" w:ascii="仿宋" w:hAnsi="仿宋" w:eastAsia="仿宋" w:cs="仿宋"/>
          <w:color w:val="auto"/>
          <w:sz w:val="24"/>
          <w:highlight w:val="none"/>
        </w:rPr>
      </w:pPr>
      <w:r>
        <w:rPr>
          <w:rFonts w:hint="eastAsia" w:ascii="仿宋" w:hAnsi="仿宋" w:eastAsia="仿宋" w:cs="仿宋"/>
          <w:color w:val="auto"/>
          <w:sz w:val="24"/>
          <w:highlight w:val="none"/>
        </w:rPr>
        <w:t>二、我方按下表要求在本表后附所需资格证明资料(复印件/打印件均加盖</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公章)，并承诺所提交资料和说明是准确和真实的。</w:t>
      </w:r>
    </w:p>
    <w:tbl>
      <w:tblPr>
        <w:tblStyle w:val="2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6983"/>
        <w:gridCol w:w="1429"/>
      </w:tblGrid>
      <w:tr w14:paraId="47FC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3" w:type="dxa"/>
            <w:vAlign w:val="center"/>
          </w:tcPr>
          <w:p w14:paraId="04072633">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6983" w:type="dxa"/>
            <w:vAlign w:val="center"/>
          </w:tcPr>
          <w:p w14:paraId="55CA6E26">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必须提供的资料</w:t>
            </w:r>
          </w:p>
        </w:tc>
        <w:tc>
          <w:tcPr>
            <w:tcW w:w="1429" w:type="dxa"/>
            <w:vAlign w:val="center"/>
          </w:tcPr>
          <w:p w14:paraId="7DF0A3E0">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该证明材料所在页码</w:t>
            </w:r>
          </w:p>
        </w:tc>
      </w:tr>
      <w:tr w14:paraId="687E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03" w:type="dxa"/>
            <w:vAlign w:val="center"/>
          </w:tcPr>
          <w:p w14:paraId="7A7AB153">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6983" w:type="dxa"/>
            <w:vAlign w:val="center"/>
          </w:tcPr>
          <w:p w14:paraId="62234EC7">
            <w:pPr>
              <w:keepNext w:val="0"/>
              <w:keepLines w:val="0"/>
              <w:suppressLineNumbers w:val="0"/>
              <w:wordWrap w:val="0"/>
              <w:spacing w:before="0" w:beforeAutospacing="0" w:after="0" w:afterAutospacing="0" w:line="360" w:lineRule="auto"/>
              <w:ind w:left="0" w:right="0"/>
              <w:rPr>
                <w:rFonts w:hint="eastAsia" w:ascii="仿宋" w:hAnsi="仿宋" w:eastAsia="仿宋" w:cs="仿宋"/>
                <w:color w:val="auto"/>
                <w:kern w:val="0"/>
                <w:sz w:val="24"/>
                <w:highlight w:val="none"/>
              </w:rPr>
            </w:pPr>
            <w:r>
              <w:rPr>
                <w:rFonts w:hint="eastAsia" w:ascii="仿宋" w:hAnsi="仿宋" w:eastAsia="仿宋" w:cs="仿宋"/>
                <w:color w:val="auto"/>
                <w:spacing w:val="14"/>
                <w:sz w:val="24"/>
                <w:highlight w:val="none"/>
              </w:rPr>
              <w:t>具有独立承担民事责任的能力：在中华人民共和国境内注册的法人或其他组织或自然人，</w:t>
            </w:r>
            <w:r>
              <w:rPr>
                <w:rFonts w:hint="eastAsia" w:ascii="仿宋" w:hAnsi="仿宋" w:eastAsia="仿宋" w:cs="仿宋"/>
                <w:color w:val="auto"/>
                <w:spacing w:val="14"/>
                <w:sz w:val="24"/>
                <w:highlight w:val="none"/>
                <w:lang w:eastAsia="zh-CN"/>
              </w:rPr>
              <w:t>投标时</w:t>
            </w:r>
            <w:r>
              <w:rPr>
                <w:rFonts w:hint="eastAsia" w:ascii="仿宋" w:hAnsi="仿宋" w:eastAsia="仿宋" w:cs="仿宋"/>
                <w:color w:val="auto"/>
                <w:spacing w:val="14"/>
                <w:sz w:val="24"/>
                <w:highlight w:val="none"/>
              </w:rPr>
              <w:t>提交有效的营业执照（</w:t>
            </w:r>
            <w:r>
              <w:rPr>
                <w:rFonts w:hint="eastAsia" w:ascii="仿宋" w:hAnsi="仿宋" w:eastAsia="仿宋" w:cs="仿宋"/>
                <w:color w:val="auto"/>
                <w:spacing w:val="14"/>
                <w:sz w:val="24"/>
                <w:highlight w:val="none"/>
                <w:lang w:eastAsia="zh-CN"/>
              </w:rPr>
              <w:t>或事业法人登记证或民办非企业单位登记证书或</w:t>
            </w:r>
            <w:r>
              <w:rPr>
                <w:rFonts w:hint="eastAsia" w:ascii="仿宋" w:hAnsi="仿宋" w:eastAsia="仿宋" w:cs="仿宋"/>
                <w:color w:val="auto"/>
                <w:spacing w:val="14"/>
                <w:sz w:val="24"/>
                <w:highlight w:val="none"/>
              </w:rPr>
              <w:t>身份证等相关证明）副本复印件。</w:t>
            </w:r>
          </w:p>
        </w:tc>
        <w:tc>
          <w:tcPr>
            <w:tcW w:w="1429" w:type="dxa"/>
            <w:vAlign w:val="center"/>
          </w:tcPr>
          <w:p w14:paraId="23A60F00">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r>
      <w:tr w14:paraId="0AD0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03" w:type="dxa"/>
            <w:vAlign w:val="center"/>
          </w:tcPr>
          <w:p w14:paraId="7614CC4E">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6983" w:type="dxa"/>
            <w:vAlign w:val="center"/>
          </w:tcPr>
          <w:p w14:paraId="03B91334">
            <w:pPr>
              <w:keepNext w:val="0"/>
              <w:keepLines w:val="0"/>
              <w:suppressLineNumbers w:val="0"/>
              <w:wordWrap w:val="0"/>
              <w:spacing w:before="0" w:beforeAutospacing="0" w:after="0" w:afterAutospacing="0" w:line="360" w:lineRule="auto"/>
              <w:ind w:left="0" w:right="0"/>
              <w:rPr>
                <w:rFonts w:hint="eastAsia" w:ascii="仿宋" w:hAnsi="仿宋" w:eastAsia="仿宋" w:cs="仿宋"/>
                <w:color w:val="auto"/>
                <w:kern w:val="0"/>
                <w:sz w:val="24"/>
                <w:highlight w:val="none"/>
              </w:rPr>
            </w:pPr>
            <w:r>
              <w:rPr>
                <w:rFonts w:hint="eastAsia" w:ascii="仿宋" w:hAnsi="仿宋" w:eastAsia="仿宋" w:cs="仿宋"/>
                <w:color w:val="auto"/>
                <w:spacing w:val="14"/>
                <w:sz w:val="24"/>
                <w:highlight w:val="none"/>
              </w:rPr>
              <w:t>有依法缴纳税收和社会保障资金的良好记录：提供</w:t>
            </w:r>
            <w:r>
              <w:rPr>
                <w:rFonts w:hint="eastAsia" w:ascii="仿宋" w:hAnsi="仿宋" w:eastAsia="仿宋" w:cs="仿宋"/>
                <w:color w:val="auto"/>
                <w:spacing w:val="14"/>
                <w:sz w:val="24"/>
                <w:highlight w:val="none"/>
                <w:lang w:eastAsia="zh-CN"/>
              </w:rPr>
              <w:t>提交投标文件截止日</w:t>
            </w:r>
            <w:r>
              <w:rPr>
                <w:rFonts w:hint="eastAsia" w:ascii="仿宋" w:hAnsi="仿宋" w:eastAsia="仿宋" w:cs="仿宋"/>
                <w:color w:val="auto"/>
                <w:spacing w:val="14"/>
                <w:sz w:val="24"/>
                <w:highlight w:val="none"/>
              </w:rPr>
              <w:t>前6个月内（含</w:t>
            </w:r>
            <w:r>
              <w:rPr>
                <w:rFonts w:hint="eastAsia" w:ascii="仿宋" w:hAnsi="仿宋" w:eastAsia="仿宋" w:cs="仿宋"/>
                <w:color w:val="auto"/>
                <w:spacing w:val="14"/>
                <w:sz w:val="24"/>
                <w:highlight w:val="none"/>
                <w:lang w:eastAsia="zh-CN"/>
              </w:rPr>
              <w:t>提交投标文件截止时间</w:t>
            </w:r>
            <w:r>
              <w:rPr>
                <w:rFonts w:hint="eastAsia" w:ascii="仿宋" w:hAnsi="仿宋" w:eastAsia="仿宋" w:cs="仿宋"/>
                <w:color w:val="auto"/>
                <w:spacing w:val="14"/>
                <w:sz w:val="24"/>
                <w:highlight w:val="none"/>
              </w:rPr>
              <w:t>当月）任意1个月依法缴纳税收和社会保障资金的相关材料（如依法免税或不需要缴纳社会保障资金的，提供相应证明材料）复印件，或提供承诺函（格式见附件《</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资格信用承诺函》）。</w:t>
            </w:r>
          </w:p>
        </w:tc>
        <w:tc>
          <w:tcPr>
            <w:tcW w:w="1429" w:type="dxa"/>
            <w:vAlign w:val="center"/>
          </w:tcPr>
          <w:p w14:paraId="270AF0A5">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r>
      <w:tr w14:paraId="1EA2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3" w:type="dxa"/>
            <w:vAlign w:val="center"/>
          </w:tcPr>
          <w:p w14:paraId="29D0109E">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6983" w:type="dxa"/>
            <w:vAlign w:val="center"/>
          </w:tcPr>
          <w:p w14:paraId="57FE0281">
            <w:pPr>
              <w:keepNext w:val="0"/>
              <w:keepLines w:val="0"/>
              <w:suppressLineNumbers w:val="0"/>
              <w:wordWrap w:val="0"/>
              <w:spacing w:before="0" w:beforeAutospacing="0" w:after="0" w:afterAutospacing="0" w:line="360" w:lineRule="auto"/>
              <w:ind w:left="0" w:right="0"/>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具有良好的商业信誉和健全的财务会计制度：提供经审计的</w:t>
            </w:r>
            <w:r>
              <w:rPr>
                <w:rFonts w:hint="eastAsia" w:ascii="仿宋" w:hAnsi="仿宋" w:eastAsia="仿宋" w:cs="仿宋"/>
                <w:color w:val="auto"/>
                <w:spacing w:val="14"/>
                <w:sz w:val="24"/>
                <w:highlight w:val="none"/>
                <w:lang w:eastAsia="zh-CN"/>
              </w:rPr>
              <w:t>2024年度</w:t>
            </w:r>
            <w:r>
              <w:rPr>
                <w:rFonts w:hint="eastAsia" w:ascii="仿宋" w:hAnsi="仿宋" w:eastAsia="仿宋" w:cs="仿宋"/>
                <w:color w:val="auto"/>
                <w:spacing w:val="14"/>
                <w:sz w:val="24"/>
                <w:highlight w:val="none"/>
              </w:rPr>
              <w:t>的财务报告，或资信证明，或开户许可证，或银行开具的《基本存款账户信息》复印件，或其他相关证明资料，或提供承诺函（格式见附件《</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资格信用承诺函》）。</w:t>
            </w:r>
          </w:p>
        </w:tc>
        <w:tc>
          <w:tcPr>
            <w:tcW w:w="1429" w:type="dxa"/>
            <w:vAlign w:val="center"/>
          </w:tcPr>
          <w:p w14:paraId="10A56122">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r>
      <w:tr w14:paraId="6DDE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3" w:type="dxa"/>
            <w:vAlign w:val="center"/>
          </w:tcPr>
          <w:p w14:paraId="041516D2">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6983" w:type="dxa"/>
            <w:vAlign w:val="center"/>
          </w:tcPr>
          <w:p w14:paraId="0B644436">
            <w:pPr>
              <w:keepNext w:val="0"/>
              <w:keepLines w:val="0"/>
              <w:suppressLineNumbers w:val="0"/>
              <w:wordWrap w:val="0"/>
              <w:spacing w:before="0" w:beforeAutospacing="0" w:after="0" w:afterAutospacing="0" w:line="360" w:lineRule="auto"/>
              <w:ind w:left="0" w:right="0"/>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履行合同所必需的设备和专业技术能力：具备履行合同所必需的设备和专业技术能力的证明材料，或提供承诺函（格式见附件《</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资格信用承诺函》）。</w:t>
            </w:r>
          </w:p>
        </w:tc>
        <w:tc>
          <w:tcPr>
            <w:tcW w:w="1429" w:type="dxa"/>
            <w:vAlign w:val="center"/>
          </w:tcPr>
          <w:p w14:paraId="3D2D0998">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r>
      <w:tr w14:paraId="7D4A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3" w:type="dxa"/>
            <w:vAlign w:val="center"/>
          </w:tcPr>
          <w:p w14:paraId="30893A0D">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6983" w:type="dxa"/>
            <w:vAlign w:val="center"/>
          </w:tcPr>
          <w:p w14:paraId="7E8F7F86">
            <w:pPr>
              <w:keepNext w:val="0"/>
              <w:keepLines w:val="0"/>
              <w:suppressLineNumbers w:val="0"/>
              <w:wordWrap w:val="0"/>
              <w:spacing w:before="0" w:beforeAutospacing="0" w:after="0" w:afterAutospacing="0" w:line="360" w:lineRule="auto"/>
              <w:ind w:left="0" w:right="0"/>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lang w:eastAsia="zh-CN"/>
              </w:rPr>
              <w:t>参加本项目采购活动前三年内</w:t>
            </w:r>
            <w:r>
              <w:rPr>
                <w:rFonts w:hint="eastAsia" w:ascii="仿宋" w:hAnsi="仿宋" w:eastAsia="仿宋" w:cs="仿宋"/>
                <w:color w:val="auto"/>
                <w:spacing w:val="14"/>
                <w:sz w:val="24"/>
                <w:highlight w:val="none"/>
              </w:rPr>
              <w:t>，在经营活动中没有重大违法记录：提供承诺函（格式见附件《</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资格信用承诺函》）重大违法记录，是指</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1429" w:type="dxa"/>
            <w:vAlign w:val="center"/>
          </w:tcPr>
          <w:p w14:paraId="42D7933C">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r>
      <w:tr w14:paraId="0DC2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3" w:type="dxa"/>
            <w:vAlign w:val="center"/>
          </w:tcPr>
          <w:p w14:paraId="40C864F4">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w:t>
            </w:r>
          </w:p>
        </w:tc>
        <w:tc>
          <w:tcPr>
            <w:tcW w:w="6983" w:type="dxa"/>
            <w:vAlign w:val="center"/>
          </w:tcPr>
          <w:p w14:paraId="433DF2E7">
            <w:pPr>
              <w:keepNext w:val="0"/>
              <w:keepLines w:val="0"/>
              <w:suppressLineNumbers w:val="0"/>
              <w:wordWrap w:val="0"/>
              <w:spacing w:before="0" w:beforeAutospacing="0" w:after="0" w:afterAutospacing="0" w:line="360" w:lineRule="auto"/>
              <w:ind w:left="0" w:right="0"/>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单位负责人为同一人或者存在直接控股、管理关系的不同</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，不得同时参加</w:t>
            </w:r>
            <w:r>
              <w:rPr>
                <w:rFonts w:hint="eastAsia" w:ascii="仿宋" w:hAnsi="仿宋" w:eastAsia="仿宋" w:cs="仿宋"/>
                <w:color w:val="auto"/>
                <w:spacing w:val="14"/>
                <w:sz w:val="24"/>
                <w:highlight w:val="none"/>
                <w:lang w:eastAsia="zh-CN"/>
              </w:rPr>
              <w:t>本采购项目投标</w:t>
            </w:r>
            <w:r>
              <w:rPr>
                <w:rFonts w:hint="eastAsia" w:ascii="仿宋" w:hAnsi="仿宋" w:eastAsia="仿宋" w:cs="仿宋"/>
                <w:color w:val="auto"/>
                <w:spacing w:val="14"/>
                <w:sz w:val="24"/>
                <w:highlight w:val="none"/>
              </w:rPr>
              <w:t>。提供承诺函。（格式见附件《关于资格的声明函》）</w:t>
            </w:r>
          </w:p>
        </w:tc>
        <w:tc>
          <w:tcPr>
            <w:tcW w:w="1429" w:type="dxa"/>
            <w:vAlign w:val="center"/>
          </w:tcPr>
          <w:p w14:paraId="47992374">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r>
      <w:tr w14:paraId="6604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3" w:type="dxa"/>
            <w:vAlign w:val="center"/>
          </w:tcPr>
          <w:p w14:paraId="5ED16C63">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w:t>
            </w:r>
          </w:p>
        </w:tc>
        <w:tc>
          <w:tcPr>
            <w:tcW w:w="6983" w:type="dxa"/>
            <w:vAlign w:val="center"/>
          </w:tcPr>
          <w:p w14:paraId="75648C3B">
            <w:pPr>
              <w:keepNext w:val="0"/>
              <w:keepLines w:val="0"/>
              <w:suppressLineNumbers w:val="0"/>
              <w:wordWrap w:val="0"/>
              <w:spacing w:before="0" w:beforeAutospacing="0" w:after="0" w:afterAutospacing="0" w:line="360" w:lineRule="auto"/>
              <w:ind w:left="0" w:right="0"/>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为</w:t>
            </w:r>
            <w:r>
              <w:rPr>
                <w:rFonts w:hint="eastAsia" w:ascii="仿宋" w:hAnsi="仿宋" w:eastAsia="仿宋" w:cs="仿宋"/>
                <w:color w:val="auto"/>
                <w:spacing w:val="14"/>
                <w:sz w:val="24"/>
                <w:highlight w:val="none"/>
                <w:lang w:eastAsia="zh-CN"/>
              </w:rPr>
              <w:t>采购项目</w:t>
            </w:r>
            <w:r>
              <w:rPr>
                <w:rFonts w:hint="eastAsia" w:ascii="仿宋" w:hAnsi="仿宋" w:eastAsia="仿宋" w:cs="仿宋"/>
                <w:color w:val="auto"/>
                <w:spacing w:val="14"/>
                <w:sz w:val="24"/>
                <w:highlight w:val="none"/>
              </w:rPr>
              <w:t>提供整体设计、规范编制或者项目管理、监理、检测等服务的</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，不得再</w:t>
            </w:r>
            <w:r>
              <w:rPr>
                <w:rFonts w:hint="eastAsia" w:ascii="仿宋" w:hAnsi="仿宋" w:eastAsia="仿宋" w:cs="仿宋"/>
                <w:color w:val="auto"/>
                <w:spacing w:val="14"/>
                <w:sz w:val="24"/>
                <w:highlight w:val="none"/>
                <w:lang w:eastAsia="zh-CN"/>
              </w:rPr>
              <w:t>参加该采购项目的其他采购活动</w:t>
            </w:r>
            <w:r>
              <w:rPr>
                <w:rFonts w:hint="eastAsia" w:ascii="仿宋" w:hAnsi="仿宋" w:eastAsia="仿宋" w:cs="仿宋"/>
                <w:color w:val="auto"/>
                <w:spacing w:val="14"/>
                <w:sz w:val="24"/>
                <w:highlight w:val="none"/>
              </w:rPr>
              <w:t>。提供承诺函。（格式见附件《关于资格的声明函》）</w:t>
            </w:r>
          </w:p>
        </w:tc>
        <w:tc>
          <w:tcPr>
            <w:tcW w:w="1429" w:type="dxa"/>
            <w:vAlign w:val="center"/>
          </w:tcPr>
          <w:p w14:paraId="7F455283">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r>
    </w:tbl>
    <w:p w14:paraId="0C6DEF0D">
      <w:pPr>
        <w:wordWrap w:val="0"/>
        <w:adjustRightInd w:val="0"/>
        <w:snapToGrid w:val="0"/>
        <w:spacing w:line="360" w:lineRule="auto"/>
        <w:rPr>
          <w:rFonts w:hint="eastAsia" w:ascii="仿宋" w:hAnsi="仿宋" w:eastAsia="仿宋" w:cs="仿宋"/>
          <w:color w:val="auto"/>
          <w:sz w:val="24"/>
          <w:highlight w:val="none"/>
        </w:rPr>
      </w:pPr>
    </w:p>
    <w:p w14:paraId="696C82F1">
      <w:pPr>
        <w:wordWrap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 xml:space="preserve">法定代表人/负责人（或法定代表人/负责人授权代表）签字： </w:t>
      </w:r>
    </w:p>
    <w:p w14:paraId="07040033">
      <w:pPr>
        <w:wordWrap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 xml:space="preserve">名称(加盖公章)： </w:t>
      </w:r>
    </w:p>
    <w:p w14:paraId="5DD990A2">
      <w:pPr>
        <w:pStyle w:val="67"/>
        <w:wordWrap w:val="0"/>
        <w:adjustRightInd w:val="0"/>
        <w:snapToGrid w:val="0"/>
        <w:rPr>
          <w:rFonts w:hint="eastAsia" w:ascii="仿宋" w:hAnsi="仿宋" w:eastAsia="仿宋" w:cs="仿宋"/>
          <w:color w:val="auto"/>
          <w:highlight w:val="none"/>
        </w:rPr>
      </w:pPr>
      <w:r>
        <w:rPr>
          <w:rFonts w:hint="eastAsia" w:ascii="仿宋" w:hAnsi="仿宋" w:eastAsia="仿宋" w:cs="仿宋"/>
          <w:color w:val="auto"/>
          <w:highlight w:val="none"/>
        </w:rPr>
        <w:t>日期：  年  月  日</w:t>
      </w:r>
    </w:p>
    <w:p w14:paraId="450E0323">
      <w:pPr>
        <w:wordWrap w:val="0"/>
        <w:snapToGrid w:val="0"/>
        <w:spacing w:line="360" w:lineRule="auto"/>
        <w:jc w:val="left"/>
        <w:rPr>
          <w:rFonts w:ascii="仿宋" w:hAnsi="仿宋" w:eastAsia="仿宋" w:cs="仿宋"/>
          <w:color w:val="auto"/>
          <w:sz w:val="24"/>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资格信用承诺函》参考格式</w:t>
      </w:r>
    </w:p>
    <w:p w14:paraId="70C5EE45">
      <w:pPr>
        <w:wordWrap w:val="0"/>
        <w:spacing w:line="360" w:lineRule="auto"/>
        <w:rPr>
          <w:rFonts w:hint="eastAsia" w:ascii="仿宋" w:hAnsi="仿宋" w:eastAsia="仿宋" w:cs="仿宋"/>
          <w:color w:val="auto"/>
          <w:sz w:val="24"/>
          <w:highlight w:val="none"/>
        </w:rPr>
      </w:pPr>
    </w:p>
    <w:p w14:paraId="2D9D16F6">
      <w:pPr>
        <w:wordWrap w:val="0"/>
        <w:spacing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eastAsia="zh-CN"/>
        </w:rPr>
        <w:t>投标人</w:t>
      </w:r>
      <w:r>
        <w:rPr>
          <w:rFonts w:hint="eastAsia" w:ascii="仿宋" w:hAnsi="仿宋" w:eastAsia="仿宋" w:cs="仿宋"/>
          <w:b/>
          <w:bCs/>
          <w:color w:val="auto"/>
          <w:sz w:val="36"/>
          <w:szCs w:val="36"/>
          <w:highlight w:val="none"/>
        </w:rPr>
        <w:t>资格信用承诺函</w:t>
      </w:r>
    </w:p>
    <w:p w14:paraId="61AA9FE7">
      <w:pPr>
        <w:wordWrap w:val="0"/>
        <w:spacing w:line="360" w:lineRule="auto"/>
        <w:rPr>
          <w:rFonts w:hint="eastAsia" w:ascii="仿宋" w:hAnsi="仿宋" w:eastAsia="仿宋" w:cs="仿宋"/>
          <w:color w:val="auto"/>
          <w:sz w:val="24"/>
          <w:highlight w:val="none"/>
        </w:rPr>
      </w:pPr>
    </w:p>
    <w:p w14:paraId="7EBC15E6">
      <w:pPr>
        <w:wordWrap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代理机构</w:t>
      </w:r>
      <w:r>
        <w:rPr>
          <w:rFonts w:hint="eastAsia" w:ascii="仿宋" w:hAnsi="仿宋" w:eastAsia="仿宋" w:cs="仿宋"/>
          <w:color w:val="auto"/>
          <w:sz w:val="24"/>
          <w:highlight w:val="none"/>
        </w:rPr>
        <w:t>）</w:t>
      </w:r>
    </w:p>
    <w:p w14:paraId="0573D1C6">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我方参与</w:t>
      </w:r>
      <w:r>
        <w:rPr>
          <w:rFonts w:hint="eastAsia" w:ascii="仿宋" w:hAnsi="仿宋" w:eastAsia="仿宋" w:cs="仿宋"/>
          <w:color w:val="auto"/>
          <w:sz w:val="24"/>
          <w:highlight w:val="none"/>
          <w:u w:val="single"/>
        </w:rPr>
        <w:t>（项目名称）（项目编号：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采购活动</w:t>
      </w:r>
      <w:r>
        <w:rPr>
          <w:rFonts w:hint="eastAsia" w:ascii="仿宋" w:hAnsi="仿宋" w:eastAsia="仿宋" w:cs="仿宋"/>
          <w:color w:val="auto"/>
          <w:sz w:val="24"/>
          <w:highlight w:val="none"/>
        </w:rPr>
        <w:t>，现承诺如下：</w:t>
      </w:r>
    </w:p>
    <w:p w14:paraId="66BF69D8">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我方具有符合有关法律法规及</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资格要求规定：</w:t>
      </w:r>
    </w:p>
    <w:p w14:paraId="447571DD">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有依法缴纳税收和社会保障资金的良好记录。</w:t>
      </w:r>
    </w:p>
    <w:p w14:paraId="046713CF">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具有良好的商业信誉和健全的财务会计制度。</w:t>
      </w:r>
    </w:p>
    <w:p w14:paraId="056188AF">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履行合同所必需的设备和专业技术能力。</w:t>
      </w:r>
    </w:p>
    <w:p w14:paraId="55EFECC6">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参加本项目采购活动前三年内</w:t>
      </w:r>
      <w:r>
        <w:rPr>
          <w:rFonts w:hint="eastAsia" w:ascii="仿宋" w:hAnsi="仿宋" w:eastAsia="仿宋" w:cs="仿宋"/>
          <w:color w:val="auto"/>
          <w:sz w:val="24"/>
          <w:highlight w:val="none"/>
        </w:rPr>
        <w:t>，在经营活动中没有重大违法记录。</w:t>
      </w:r>
    </w:p>
    <w:p w14:paraId="6061EDA7">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我方与其他</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不存在单位负责人为同一人或者存在直接控股、管理关系。</w:t>
      </w:r>
    </w:p>
    <w:p w14:paraId="49A1F4D0">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我方承诺未为本项目提供整体设计、规范编制或者项目管理、监理、检测等服务。</w:t>
      </w:r>
    </w:p>
    <w:p w14:paraId="0BFB6258">
      <w:pPr>
        <w:wordWrap w:val="0"/>
        <w:spacing w:line="360" w:lineRule="auto"/>
        <w:ind w:firstLine="480" w:firstLineChars="200"/>
        <w:rPr>
          <w:rFonts w:hint="eastAsia" w:ascii="仿宋" w:hAnsi="仿宋" w:eastAsia="仿宋" w:cs="仿宋"/>
          <w:color w:val="auto"/>
          <w:sz w:val="24"/>
          <w:highlight w:val="none"/>
        </w:rPr>
      </w:pPr>
    </w:p>
    <w:p w14:paraId="3299AEC9">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若我方以上承诺不实，自愿承担提供虚假材料谋取中标、成交的法律责任。</w:t>
      </w:r>
    </w:p>
    <w:p w14:paraId="61C7DA8B">
      <w:pPr>
        <w:wordWrap w:val="0"/>
        <w:spacing w:line="360" w:lineRule="auto"/>
        <w:ind w:firstLine="480" w:firstLineChars="200"/>
        <w:rPr>
          <w:rFonts w:hint="eastAsia" w:ascii="仿宋" w:hAnsi="仿宋" w:eastAsia="仿宋" w:cs="仿宋"/>
          <w:color w:val="auto"/>
          <w:sz w:val="24"/>
          <w:highlight w:val="none"/>
        </w:rPr>
      </w:pPr>
    </w:p>
    <w:p w14:paraId="5E19E57D">
      <w:pPr>
        <w:wordWrap w:val="0"/>
        <w:spacing w:line="360" w:lineRule="auto"/>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承诺单位（全称并加盖公章）：</w:t>
      </w:r>
      <w:r>
        <w:rPr>
          <w:rFonts w:hint="eastAsia" w:ascii="仿宋" w:hAnsi="仿宋" w:eastAsia="仿宋" w:cs="仿宋"/>
          <w:color w:val="auto"/>
          <w:sz w:val="24"/>
          <w:highlight w:val="none"/>
          <w:u w:val="single"/>
        </w:rPr>
        <w:t xml:space="preserve">               </w:t>
      </w:r>
    </w:p>
    <w:p w14:paraId="50E104D4">
      <w:pPr>
        <w:wordWrap w:val="0"/>
        <w:spacing w:line="360" w:lineRule="auto"/>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14:paraId="229780AD">
      <w:pPr>
        <w:wordWrap w:val="0"/>
        <w:spacing w:line="360" w:lineRule="auto"/>
        <w:rPr>
          <w:rFonts w:hint="eastAsia" w:ascii="仿宋" w:hAnsi="仿宋" w:eastAsia="仿宋" w:cs="仿宋"/>
          <w:color w:val="auto"/>
          <w:sz w:val="24"/>
          <w:highlight w:val="none"/>
        </w:rPr>
      </w:pPr>
    </w:p>
    <w:p w14:paraId="349E7DE5">
      <w:pPr>
        <w:wordWrap w:val="0"/>
        <w:spacing w:line="360" w:lineRule="auto"/>
        <w:rPr>
          <w:rFonts w:hint="eastAsia" w:ascii="仿宋" w:hAnsi="仿宋" w:eastAsia="仿宋" w:cs="仿宋"/>
          <w:color w:val="auto"/>
          <w:sz w:val="24"/>
          <w:highlight w:val="none"/>
        </w:rPr>
      </w:pPr>
    </w:p>
    <w:p w14:paraId="35570ACF">
      <w:pPr>
        <w:wordWrap w:val="0"/>
        <w:spacing w:line="360" w:lineRule="auto"/>
        <w:rPr>
          <w:rFonts w:hint="eastAsia" w:ascii="仿宋" w:hAnsi="仿宋" w:eastAsia="仿宋" w:cs="仿宋"/>
          <w:color w:val="auto"/>
          <w:sz w:val="24"/>
          <w:highlight w:val="none"/>
        </w:rPr>
      </w:pPr>
    </w:p>
    <w:p w14:paraId="766DD9F9">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可自行选择是否提供本承诺函及承诺的内容，若不提供本承诺函或承诺相应的内容，应按</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资格要求提供相应的证明材料。</w:t>
      </w:r>
    </w:p>
    <w:p w14:paraId="4019CC50">
      <w:pPr>
        <w:wordWrap w:val="0"/>
        <w:adjustRightInd w:val="0"/>
        <w:snapToGrid w:val="0"/>
        <w:spacing w:line="360" w:lineRule="auto"/>
        <w:ind w:left="-88" w:leftChars="-42"/>
        <w:jc w:val="center"/>
        <w:outlineLvl w:val="3"/>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bCs/>
          <w:color w:val="auto"/>
          <w:sz w:val="28"/>
          <w:szCs w:val="28"/>
          <w:highlight w:val="none"/>
        </w:rPr>
        <w:t>开标一览表</w:t>
      </w:r>
    </w:p>
    <w:p w14:paraId="2FDD4C62">
      <w:pPr>
        <w:wordWrap w:val="0"/>
        <w:adjustRightInd w:val="0"/>
        <w:snapToGrid w:val="0"/>
        <w:spacing w:line="360" w:lineRule="auto"/>
        <w:rPr>
          <w:rFonts w:hint="eastAsia" w:ascii="仿宋" w:hAnsi="仿宋" w:eastAsia="仿宋" w:cs="仿宋"/>
          <w:color w:val="auto"/>
          <w:sz w:val="24"/>
          <w:highlight w:val="none"/>
        </w:rPr>
      </w:pPr>
    </w:p>
    <w:p w14:paraId="7ABE8607">
      <w:pPr>
        <w:wordWrap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 xml:space="preserve">JG       </w:t>
      </w:r>
      <w:r>
        <w:rPr>
          <w:rFonts w:hint="eastAsia" w:ascii="仿宋" w:hAnsi="仿宋" w:eastAsia="仿宋" w:cs="仿宋"/>
          <w:color w:val="auto"/>
          <w:sz w:val="24"/>
          <w:highlight w:val="none"/>
        </w:rPr>
        <w:t xml:space="preserve"> </w:t>
      </w:r>
    </w:p>
    <w:p w14:paraId="0AB02CD1">
      <w:pPr>
        <w:wordWrap w:val="0"/>
        <w:adjustRightInd w:val="0"/>
        <w:snapToGrid w:val="0"/>
        <w:spacing w:line="360" w:lineRule="auto"/>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桂城街道叠北社区市政管理一体化服务</w:t>
      </w:r>
    </w:p>
    <w:p w14:paraId="1FB584B2">
      <w:pPr>
        <w:wordWrap w:val="0"/>
        <w:adjustRightInd w:val="0"/>
        <w:snapToGrid w:val="0"/>
        <w:spacing w:line="360" w:lineRule="auto"/>
        <w:rPr>
          <w:rFonts w:hint="eastAsia" w:ascii="仿宋" w:hAnsi="仿宋" w:eastAsia="仿宋" w:cs="仿宋"/>
          <w:b/>
          <w:color w:val="auto"/>
          <w:sz w:val="24"/>
          <w:highlight w:val="none"/>
        </w:rPr>
      </w:pPr>
    </w:p>
    <w:tbl>
      <w:tblPr>
        <w:tblStyle w:val="23"/>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2"/>
        <w:gridCol w:w="6568"/>
      </w:tblGrid>
      <w:tr w14:paraId="2F4F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2292" w:type="dxa"/>
            <w:tcBorders>
              <w:top w:val="single" w:color="auto" w:sz="4" w:space="0"/>
              <w:left w:val="single" w:color="auto" w:sz="4" w:space="0"/>
              <w:bottom w:val="single" w:color="auto" w:sz="4" w:space="0"/>
              <w:right w:val="single" w:color="auto" w:sz="4" w:space="0"/>
            </w:tcBorders>
            <w:vAlign w:val="center"/>
          </w:tcPr>
          <w:p w14:paraId="59F5649C">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kern w:val="0"/>
                <w:sz w:val="24"/>
                <w:highlight w:val="none"/>
                <w:lang w:val="en-US" w:eastAsia="zh-CN" w:bidi="ar"/>
              </w:rPr>
            </w:pPr>
            <w:r>
              <w:rPr>
                <w:rFonts w:hint="eastAsia" w:ascii="仿宋" w:hAnsi="仿宋" w:eastAsia="仿宋" w:cs="仿宋"/>
                <w:b/>
                <w:bCs/>
                <w:color w:val="auto"/>
                <w:kern w:val="0"/>
                <w:sz w:val="24"/>
                <w:highlight w:val="none"/>
                <w:lang w:val="en-US" w:eastAsia="zh-CN" w:bidi="ar"/>
              </w:rPr>
              <w:t>投标报价</w:t>
            </w:r>
          </w:p>
        </w:tc>
        <w:tc>
          <w:tcPr>
            <w:tcW w:w="6568" w:type="dxa"/>
            <w:tcBorders>
              <w:top w:val="single" w:color="auto" w:sz="4" w:space="0"/>
              <w:left w:val="single" w:color="auto" w:sz="4" w:space="0"/>
              <w:bottom w:val="single" w:color="auto" w:sz="4" w:space="0"/>
              <w:right w:val="single" w:color="auto" w:sz="4" w:space="0"/>
            </w:tcBorders>
            <w:vAlign w:val="center"/>
          </w:tcPr>
          <w:p w14:paraId="7627490C">
            <w:pPr>
              <w:keepNext w:val="0"/>
              <w:keepLines w:val="0"/>
              <w:suppressLineNumbers w:val="0"/>
              <w:spacing w:before="0" w:beforeAutospacing="0" w:after="0" w:afterAutospacing="0" w:line="360" w:lineRule="auto"/>
              <w:ind w:left="0" w:right="0"/>
              <w:rPr>
                <w:rFonts w:hint="default"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rPr>
              <w:t>（大写）人民币</w:t>
            </w:r>
            <w:r>
              <w:rPr>
                <w:rFonts w:hint="eastAsia" w:ascii="仿宋" w:hAnsi="仿宋" w:eastAsia="仿宋" w:cs="仿宋_GB2312"/>
                <w:color w:val="auto"/>
                <w:sz w:val="24"/>
                <w:highlight w:val="none"/>
                <w:u w:val="single"/>
              </w:rPr>
              <w:t xml:space="preserve">                      </w:t>
            </w:r>
            <w:r>
              <w:rPr>
                <w:rFonts w:hint="eastAsia" w:ascii="仿宋" w:hAnsi="仿宋" w:eastAsia="仿宋" w:cs="仿宋_GB2312"/>
                <w:color w:val="auto"/>
                <w:sz w:val="24"/>
                <w:highlight w:val="none"/>
                <w:u w:val="single"/>
                <w:lang w:val="en-US" w:eastAsia="zh-CN"/>
              </w:rPr>
              <w:t>元</w:t>
            </w:r>
          </w:p>
          <w:p w14:paraId="1A5C168A">
            <w:pPr>
              <w:keepNext w:val="0"/>
              <w:keepLines w:val="0"/>
              <w:suppressLineNumbers w:val="0"/>
              <w:spacing w:before="0" w:beforeAutospacing="0" w:after="0" w:afterAutospacing="0" w:line="360" w:lineRule="auto"/>
              <w:ind w:left="0" w:leftChars="0" w:right="0" w:rightChars="0"/>
              <w:rPr>
                <w:rFonts w:hint="eastAsia" w:ascii="仿宋" w:hAnsi="仿宋" w:eastAsia="仿宋" w:cs="仿宋_GB2312"/>
                <w:color w:val="auto"/>
                <w:sz w:val="24"/>
                <w:highlight w:val="none"/>
                <w:lang w:eastAsia="zh-CN"/>
              </w:rPr>
            </w:pPr>
            <w:r>
              <w:rPr>
                <w:rFonts w:hint="default" w:ascii="仿宋" w:hAnsi="仿宋" w:eastAsia="仿宋" w:cs="仿宋_GB2312"/>
                <w:color w:val="auto"/>
                <w:sz w:val="24"/>
                <w:highlight w:val="none"/>
              </w:rPr>
              <w:t>（</w:t>
            </w:r>
            <w:r>
              <w:rPr>
                <w:rFonts w:hint="eastAsia" w:ascii="仿宋" w:hAnsi="仿宋" w:eastAsia="仿宋" w:cs="仿宋_GB2312"/>
                <w:color w:val="auto"/>
                <w:sz w:val="24"/>
                <w:highlight w:val="none"/>
              </w:rPr>
              <w:t>小写）（￥</w:t>
            </w:r>
            <w:r>
              <w:rPr>
                <w:rFonts w:hint="eastAsia" w:ascii="仿宋" w:hAnsi="仿宋" w:eastAsia="仿宋" w:cs="仿宋_GB2312"/>
                <w:color w:val="auto"/>
                <w:sz w:val="24"/>
                <w:highlight w:val="none"/>
                <w:u w:val="single"/>
              </w:rPr>
              <w:t xml:space="preserve">           </w:t>
            </w:r>
            <w:r>
              <w:rPr>
                <w:rFonts w:hint="eastAsia" w:ascii="仿宋" w:hAnsi="仿宋" w:eastAsia="仿宋" w:cs="仿宋_GB2312"/>
                <w:color w:val="auto"/>
                <w:sz w:val="24"/>
                <w:highlight w:val="none"/>
              </w:rPr>
              <w:t>元）</w:t>
            </w:r>
          </w:p>
        </w:tc>
      </w:tr>
      <w:tr w14:paraId="7506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2292" w:type="dxa"/>
            <w:tcBorders>
              <w:top w:val="single" w:color="auto" w:sz="4" w:space="0"/>
              <w:left w:val="single" w:color="auto" w:sz="4" w:space="0"/>
              <w:bottom w:val="single" w:color="auto" w:sz="4" w:space="0"/>
              <w:right w:val="single" w:color="auto" w:sz="4" w:space="0"/>
            </w:tcBorders>
            <w:vAlign w:val="center"/>
          </w:tcPr>
          <w:p w14:paraId="5BD67D72">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kern w:val="0"/>
                <w:sz w:val="24"/>
                <w:highlight w:val="none"/>
                <w:lang w:val="en-US" w:eastAsia="zh-CN" w:bidi="ar"/>
              </w:rPr>
            </w:pPr>
            <w:r>
              <w:rPr>
                <w:rFonts w:hint="eastAsia" w:ascii="仿宋" w:hAnsi="仿宋" w:eastAsia="仿宋" w:cs="仿宋"/>
                <w:b/>
                <w:bCs/>
                <w:color w:val="auto"/>
                <w:kern w:val="0"/>
                <w:sz w:val="24"/>
                <w:highlight w:val="none"/>
                <w:lang w:val="en-US" w:eastAsia="zh-CN" w:bidi="ar"/>
              </w:rPr>
              <w:t>备注</w:t>
            </w:r>
          </w:p>
        </w:tc>
        <w:tc>
          <w:tcPr>
            <w:tcW w:w="6568" w:type="dxa"/>
            <w:tcBorders>
              <w:top w:val="single" w:color="auto" w:sz="4" w:space="0"/>
              <w:left w:val="single" w:color="auto" w:sz="4" w:space="0"/>
              <w:bottom w:val="single" w:color="auto" w:sz="4" w:space="0"/>
              <w:right w:val="single" w:color="auto" w:sz="4" w:space="0"/>
            </w:tcBorders>
            <w:vAlign w:val="center"/>
          </w:tcPr>
          <w:p w14:paraId="4E5E103E">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kern w:val="0"/>
                <w:sz w:val="24"/>
                <w:highlight w:val="none"/>
                <w:lang w:val="en-US" w:eastAsia="zh-CN" w:bidi="ar"/>
              </w:rPr>
            </w:pPr>
          </w:p>
        </w:tc>
      </w:tr>
    </w:tbl>
    <w:p w14:paraId="39C73B36">
      <w:pPr>
        <w:pStyle w:val="9"/>
        <w:rPr>
          <w:rFonts w:hint="eastAsia" w:ascii="仿宋" w:hAnsi="仿宋" w:eastAsia="仿宋" w:cs="仿宋"/>
          <w:b/>
          <w:color w:val="auto"/>
          <w:sz w:val="24"/>
          <w:highlight w:val="none"/>
        </w:rPr>
      </w:pPr>
    </w:p>
    <w:p w14:paraId="0888CC0A">
      <w:pPr>
        <w:pStyle w:val="33"/>
        <w:rPr>
          <w:rFonts w:hint="eastAsia"/>
          <w:color w:val="auto"/>
          <w:highlight w:val="none"/>
        </w:rPr>
      </w:pPr>
    </w:p>
    <w:p w14:paraId="53D6E127">
      <w:pPr>
        <w:wordWrap w:val="0"/>
        <w:adjustRightInd w:val="0"/>
        <w:snapToGrid w:val="0"/>
        <w:spacing w:line="360" w:lineRule="auto"/>
        <w:ind w:right="796" w:rightChars="379"/>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注：1.</w:t>
      </w:r>
      <w:r>
        <w:rPr>
          <w:rFonts w:hint="eastAsia" w:ascii="仿宋" w:hAnsi="仿宋" w:eastAsia="仿宋" w:cs="仿宋"/>
          <w:b/>
          <w:bCs/>
          <w:color w:val="auto"/>
          <w:sz w:val="22"/>
          <w:szCs w:val="22"/>
          <w:highlight w:val="none"/>
          <w:lang w:eastAsia="zh-CN"/>
        </w:rPr>
        <w:t>投标</w:t>
      </w:r>
      <w:r>
        <w:rPr>
          <w:rFonts w:hint="eastAsia" w:ascii="仿宋" w:hAnsi="仿宋" w:eastAsia="仿宋" w:cs="仿宋"/>
          <w:b/>
          <w:bCs/>
          <w:color w:val="auto"/>
          <w:sz w:val="22"/>
          <w:szCs w:val="22"/>
          <w:highlight w:val="none"/>
        </w:rPr>
        <w:t>报价大写金额用中文汉字，如壹、贰、叁、肆、伍、陆、柒、捌、玖、拾、佰、仟、万、亿、元、角、分、零、整（正）等。</w:t>
      </w:r>
    </w:p>
    <w:p w14:paraId="128C7772">
      <w:pPr>
        <w:wordWrap w:val="0"/>
        <w:adjustRightInd w:val="0"/>
        <w:snapToGrid w:val="0"/>
        <w:spacing w:line="360" w:lineRule="auto"/>
        <w:ind w:right="796" w:rightChars="379"/>
        <w:rPr>
          <w:rFonts w:hint="eastAsia" w:ascii="仿宋" w:hAnsi="仿宋" w:eastAsia="仿宋" w:cs="仿宋"/>
          <w:b/>
          <w:bCs/>
          <w:color w:val="auto"/>
          <w:sz w:val="22"/>
          <w:szCs w:val="22"/>
          <w:highlight w:val="none"/>
        </w:rPr>
      </w:pPr>
      <w:bookmarkStart w:id="79" w:name="_Toc26692_WPSOffice_Level1"/>
      <w:bookmarkStart w:id="80" w:name="_Toc22527_WPSOffice_Level1"/>
      <w:r>
        <w:rPr>
          <w:rFonts w:hint="eastAsia" w:ascii="仿宋" w:hAnsi="仿宋" w:eastAsia="仿宋" w:cs="仿宋"/>
          <w:b/>
          <w:bCs/>
          <w:color w:val="auto"/>
          <w:sz w:val="22"/>
          <w:szCs w:val="22"/>
          <w:highlight w:val="none"/>
        </w:rPr>
        <w:t>2.</w:t>
      </w:r>
      <w:r>
        <w:rPr>
          <w:rFonts w:hint="eastAsia" w:ascii="仿宋" w:hAnsi="仿宋" w:eastAsia="仿宋" w:cs="仿宋"/>
          <w:b/>
          <w:bCs/>
          <w:color w:val="auto"/>
          <w:sz w:val="22"/>
          <w:szCs w:val="22"/>
          <w:highlight w:val="none"/>
          <w:lang w:eastAsia="zh-CN"/>
        </w:rPr>
        <w:t>投标</w:t>
      </w:r>
      <w:r>
        <w:rPr>
          <w:rFonts w:hint="eastAsia" w:ascii="仿宋" w:hAnsi="仿宋" w:eastAsia="仿宋" w:cs="仿宋"/>
          <w:b/>
          <w:bCs/>
          <w:color w:val="auto"/>
          <w:sz w:val="22"/>
          <w:szCs w:val="22"/>
          <w:highlight w:val="none"/>
        </w:rPr>
        <w:t>报价小写金额的小数点后保留两位有效数。</w:t>
      </w:r>
      <w:bookmarkEnd w:id="79"/>
      <w:bookmarkEnd w:id="80"/>
    </w:p>
    <w:p w14:paraId="2D92643F">
      <w:pPr>
        <w:wordWrap w:val="0"/>
        <w:adjustRightInd w:val="0"/>
        <w:snapToGrid w:val="0"/>
        <w:spacing w:line="360" w:lineRule="auto"/>
        <w:ind w:right="796" w:rightChars="379"/>
        <w:rPr>
          <w:rFonts w:hint="eastAsia" w:ascii="仿宋" w:hAnsi="仿宋" w:eastAsia="仿宋" w:cs="仿宋"/>
          <w:b/>
          <w:bCs/>
          <w:color w:val="auto"/>
          <w:sz w:val="22"/>
          <w:szCs w:val="22"/>
          <w:highlight w:val="none"/>
        </w:rPr>
      </w:pPr>
      <w:bookmarkStart w:id="81" w:name="_Toc19112_WPSOffice_Level1"/>
      <w:bookmarkStart w:id="82" w:name="_Toc19130_WPSOffice_Level1"/>
      <w:r>
        <w:rPr>
          <w:rFonts w:hint="eastAsia" w:ascii="仿宋" w:hAnsi="仿宋" w:eastAsia="仿宋" w:cs="仿宋"/>
          <w:b/>
          <w:bCs/>
          <w:color w:val="auto"/>
          <w:sz w:val="22"/>
          <w:szCs w:val="22"/>
          <w:highlight w:val="none"/>
        </w:rPr>
        <w:t>3.</w:t>
      </w:r>
      <w:bookmarkEnd w:id="81"/>
      <w:bookmarkEnd w:id="82"/>
      <w:r>
        <w:rPr>
          <w:rFonts w:hint="eastAsia" w:ascii="仿宋" w:hAnsi="仿宋" w:eastAsia="仿宋" w:cs="仿宋"/>
          <w:b/>
          <w:bCs/>
          <w:color w:val="auto"/>
          <w:sz w:val="22"/>
          <w:szCs w:val="22"/>
          <w:highlight w:val="none"/>
        </w:rPr>
        <w:t>本表除了附在</w:t>
      </w:r>
      <w:r>
        <w:rPr>
          <w:rFonts w:hint="eastAsia" w:ascii="仿宋" w:hAnsi="仿宋" w:eastAsia="仿宋" w:cs="仿宋"/>
          <w:b/>
          <w:bCs/>
          <w:color w:val="auto"/>
          <w:sz w:val="22"/>
          <w:szCs w:val="22"/>
          <w:highlight w:val="none"/>
          <w:lang w:eastAsia="zh-CN"/>
        </w:rPr>
        <w:t>投标文件</w:t>
      </w:r>
      <w:r>
        <w:rPr>
          <w:rFonts w:hint="eastAsia" w:ascii="仿宋" w:hAnsi="仿宋" w:eastAsia="仿宋" w:cs="仿宋"/>
          <w:b/>
          <w:bCs/>
          <w:color w:val="auto"/>
          <w:sz w:val="22"/>
          <w:szCs w:val="22"/>
          <w:highlight w:val="none"/>
        </w:rPr>
        <w:t>中外，还须另外多制作一份，单独密封提交。</w:t>
      </w:r>
    </w:p>
    <w:p w14:paraId="62604BE9">
      <w:pPr>
        <w:wordWrap w:val="0"/>
        <w:adjustRightInd w:val="0"/>
        <w:snapToGrid w:val="0"/>
        <w:spacing w:line="360" w:lineRule="auto"/>
        <w:rPr>
          <w:rFonts w:hint="eastAsia" w:ascii="仿宋" w:hAnsi="仿宋" w:eastAsia="仿宋" w:cs="仿宋"/>
          <w:b/>
          <w:color w:val="auto"/>
          <w:sz w:val="24"/>
          <w:highlight w:val="none"/>
        </w:rPr>
      </w:pPr>
    </w:p>
    <w:p w14:paraId="61E47A6E">
      <w:pPr>
        <w:wordWrap w:val="0"/>
        <w:adjustRightInd w:val="0"/>
        <w:snapToGrid w:val="0"/>
        <w:spacing w:line="360" w:lineRule="auto"/>
        <w:rPr>
          <w:rFonts w:hint="eastAsia" w:ascii="仿宋" w:hAnsi="仿宋" w:eastAsia="仿宋" w:cs="仿宋"/>
          <w:color w:val="auto"/>
          <w:sz w:val="24"/>
          <w:highlight w:val="none"/>
        </w:rPr>
      </w:pPr>
    </w:p>
    <w:p w14:paraId="2D7981DE">
      <w:pPr>
        <w:wordWrap w:val="0"/>
        <w:adjustRightInd w:val="0"/>
        <w:snapToGrid w:val="0"/>
        <w:spacing w:line="360" w:lineRule="auto"/>
        <w:rPr>
          <w:rFonts w:hint="eastAsia" w:ascii="仿宋" w:hAnsi="仿宋" w:eastAsia="仿宋" w:cs="仿宋"/>
          <w:color w:val="auto"/>
          <w:sz w:val="24"/>
          <w:highlight w:val="none"/>
        </w:rPr>
      </w:pPr>
    </w:p>
    <w:p w14:paraId="2127BBDC">
      <w:pPr>
        <w:wordWrap w:val="0"/>
        <w:adjustRightInd w:val="0"/>
        <w:snapToGrid w:val="0"/>
        <w:spacing w:line="360" w:lineRule="auto"/>
        <w:ind w:firstLine="216" w:firstLineChars="90"/>
        <w:rPr>
          <w:rFonts w:hint="eastAsia" w:ascii="仿宋" w:hAnsi="仿宋" w:eastAsia="仿宋" w:cs="仿宋"/>
          <w:bCs/>
          <w:color w:val="auto"/>
          <w:sz w:val="24"/>
          <w:highlight w:val="none"/>
        </w:rPr>
      </w:pPr>
      <w:bookmarkStart w:id="83" w:name="OLE_LINK24"/>
      <w:r>
        <w:rPr>
          <w:rFonts w:hint="eastAsia" w:ascii="仿宋" w:hAnsi="仿宋" w:eastAsia="仿宋" w:cs="仿宋"/>
          <w:bCs/>
          <w:color w:val="auto"/>
          <w:sz w:val="24"/>
          <w:highlight w:val="none"/>
          <w:lang w:eastAsia="zh-CN"/>
        </w:rPr>
        <w:t>投标人</w:t>
      </w:r>
      <w:r>
        <w:rPr>
          <w:rFonts w:hint="eastAsia" w:ascii="仿宋" w:hAnsi="仿宋" w:eastAsia="仿宋" w:cs="仿宋"/>
          <w:bCs/>
          <w:color w:val="auto"/>
          <w:sz w:val="24"/>
          <w:highlight w:val="none"/>
        </w:rPr>
        <w:t>法定代表人/负责人（或法定代表人/负责人授权代表）签字</w:t>
      </w:r>
      <w:bookmarkEnd w:id="83"/>
      <w:r>
        <w:rPr>
          <w:rFonts w:hint="eastAsia" w:ascii="仿宋" w:hAnsi="仿宋" w:eastAsia="仿宋" w:cs="仿宋"/>
          <w:bCs/>
          <w:color w:val="auto"/>
          <w:sz w:val="24"/>
          <w:highlight w:val="none"/>
        </w:rPr>
        <w:t xml:space="preserve">： </w:t>
      </w:r>
    </w:p>
    <w:p w14:paraId="1862C141">
      <w:pPr>
        <w:wordWrap w:val="0"/>
        <w:adjustRightInd w:val="0"/>
        <w:snapToGrid w:val="0"/>
        <w:spacing w:line="360" w:lineRule="auto"/>
        <w:ind w:firstLine="216" w:firstLineChars="9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投标人</w:t>
      </w:r>
      <w:r>
        <w:rPr>
          <w:rFonts w:hint="eastAsia" w:ascii="仿宋" w:hAnsi="仿宋" w:eastAsia="仿宋" w:cs="仿宋"/>
          <w:bCs/>
          <w:color w:val="auto"/>
          <w:sz w:val="24"/>
          <w:highlight w:val="none"/>
        </w:rPr>
        <w:t xml:space="preserve">名称(加盖公章)： </w:t>
      </w:r>
    </w:p>
    <w:p w14:paraId="7967CAD1">
      <w:pPr>
        <w:wordWrap w:val="0"/>
        <w:adjustRightInd w:val="0"/>
        <w:snapToGrid w:val="0"/>
        <w:spacing w:line="360" w:lineRule="auto"/>
        <w:ind w:firstLine="216" w:firstLineChars="9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日期：  年  月  日</w:t>
      </w:r>
    </w:p>
    <w:p w14:paraId="6BD399B8">
      <w:pPr>
        <w:wordWrap w:val="0"/>
        <w:adjustRightInd w:val="0"/>
        <w:snapToGrid w:val="0"/>
        <w:spacing w:line="360" w:lineRule="auto"/>
        <w:rPr>
          <w:rFonts w:hint="eastAsia" w:ascii="仿宋" w:hAnsi="仿宋" w:eastAsia="仿宋" w:cs="仿宋"/>
          <w:color w:val="auto"/>
          <w:sz w:val="24"/>
          <w:highlight w:val="none"/>
        </w:rPr>
      </w:pPr>
    </w:p>
    <w:p w14:paraId="161D5BEC">
      <w:pPr>
        <w:wordWrap w:val="0"/>
        <w:jc w:val="center"/>
        <w:outlineLvl w:val="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br w:type="page"/>
      </w:r>
    </w:p>
    <w:p w14:paraId="767F7575">
      <w:pPr>
        <w:wordWrap w:val="0"/>
        <w:adjustRightInd w:val="0"/>
        <w:snapToGrid w:val="0"/>
        <w:spacing w:line="300" w:lineRule="auto"/>
        <w:jc w:val="center"/>
        <w:rPr>
          <w:rFonts w:hint="eastAsia" w:ascii="仿宋" w:hAnsi="仿宋" w:eastAsia="仿宋" w:cs="仿宋"/>
          <w:b/>
          <w:color w:val="auto"/>
          <w:sz w:val="26"/>
          <w:szCs w:val="28"/>
          <w:highlight w:val="none"/>
        </w:rPr>
      </w:pPr>
      <w:bookmarkStart w:id="84" w:name="_Toc22855"/>
      <w:bookmarkStart w:id="85" w:name="_Toc5634"/>
      <w:r>
        <w:rPr>
          <w:rFonts w:hint="eastAsia" w:ascii="仿宋" w:hAnsi="仿宋" w:eastAsia="仿宋" w:cs="仿宋"/>
          <w:b/>
          <w:color w:val="auto"/>
          <w:sz w:val="26"/>
          <w:szCs w:val="28"/>
          <w:highlight w:val="none"/>
        </w:rPr>
        <w:t>商务响应、偏离说明表</w:t>
      </w:r>
      <w:bookmarkEnd w:id="84"/>
      <w:bookmarkEnd w:id="85"/>
    </w:p>
    <w:p w14:paraId="487BF5D1">
      <w:pPr>
        <w:wordWrap w:val="0"/>
        <w:adjustRightInd w:val="0"/>
        <w:snapToGrid w:val="0"/>
        <w:spacing w:line="360" w:lineRule="auto"/>
        <w:rPr>
          <w:rFonts w:hint="eastAsia" w:ascii="仿宋" w:hAnsi="仿宋" w:eastAsia="仿宋" w:cs="仿宋"/>
          <w:color w:val="auto"/>
          <w:sz w:val="24"/>
          <w:highlight w:val="none"/>
        </w:rPr>
      </w:pPr>
    </w:p>
    <w:p w14:paraId="444BC301">
      <w:pPr>
        <w:wordWrap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 xml:space="preserve">JG       </w:t>
      </w:r>
      <w:r>
        <w:rPr>
          <w:rFonts w:hint="eastAsia" w:ascii="仿宋" w:hAnsi="仿宋" w:eastAsia="仿宋" w:cs="仿宋"/>
          <w:color w:val="auto"/>
          <w:sz w:val="24"/>
          <w:highlight w:val="none"/>
        </w:rPr>
        <w:t xml:space="preserve"> </w:t>
      </w:r>
    </w:p>
    <w:p w14:paraId="67DD0CC7">
      <w:pPr>
        <w:wordWrap w:val="0"/>
        <w:adjustRightInd w:val="0"/>
        <w:snapToGrid w:val="0"/>
        <w:spacing w:line="360" w:lineRule="auto"/>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桂城街道叠北社区市政管理一体化服务</w:t>
      </w:r>
    </w:p>
    <w:tbl>
      <w:tblPr>
        <w:tblStyle w:val="23"/>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617"/>
        <w:gridCol w:w="2362"/>
        <w:gridCol w:w="1723"/>
        <w:gridCol w:w="1423"/>
      </w:tblGrid>
      <w:tr w14:paraId="1918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860" w:type="dxa"/>
            <w:gridSpan w:val="5"/>
            <w:tcBorders>
              <w:top w:val="single" w:color="auto" w:sz="4" w:space="0"/>
              <w:left w:val="single" w:color="auto" w:sz="4" w:space="0"/>
              <w:bottom w:val="single" w:color="auto" w:sz="4" w:space="0"/>
              <w:right w:val="single" w:color="auto" w:sz="4" w:space="0"/>
            </w:tcBorders>
            <w:vAlign w:val="center"/>
          </w:tcPr>
          <w:p w14:paraId="2B7A0C0A">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w:t>
            </w:r>
            <w:r>
              <w:rPr>
                <w:rFonts w:hint="eastAsia" w:ascii="仿宋" w:hAnsi="仿宋" w:eastAsia="仿宋" w:cs="仿宋"/>
                <w:b/>
                <w:bCs/>
                <w:color w:val="auto"/>
                <w:sz w:val="24"/>
                <w:highlight w:val="none"/>
                <w:lang w:eastAsia="zh-CN"/>
              </w:rPr>
              <w:t>采购项目</w:t>
            </w:r>
            <w:r>
              <w:rPr>
                <w:rFonts w:hint="eastAsia" w:ascii="仿宋" w:hAnsi="仿宋" w:eastAsia="仿宋" w:cs="仿宋"/>
                <w:b/>
                <w:bCs/>
                <w:color w:val="auto"/>
                <w:sz w:val="24"/>
                <w:highlight w:val="none"/>
              </w:rPr>
              <w:t>商务要求”的全部条款的响应情况</w:t>
            </w:r>
          </w:p>
        </w:tc>
      </w:tr>
      <w:tr w14:paraId="0636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35" w:type="dxa"/>
            <w:tcBorders>
              <w:top w:val="single" w:color="auto" w:sz="4" w:space="0"/>
              <w:left w:val="single" w:color="auto" w:sz="4" w:space="0"/>
              <w:bottom w:val="single" w:color="auto" w:sz="4" w:space="0"/>
              <w:right w:val="single" w:color="auto" w:sz="4" w:space="0"/>
            </w:tcBorders>
            <w:vAlign w:val="center"/>
          </w:tcPr>
          <w:p w14:paraId="4770F89F">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617" w:type="dxa"/>
            <w:tcBorders>
              <w:top w:val="single" w:color="auto" w:sz="4" w:space="0"/>
              <w:left w:val="single" w:color="auto" w:sz="4" w:space="0"/>
              <w:bottom w:val="single" w:color="auto" w:sz="4" w:space="0"/>
              <w:right w:val="single" w:color="auto" w:sz="4" w:space="0"/>
            </w:tcBorders>
            <w:vAlign w:val="center"/>
          </w:tcPr>
          <w:p w14:paraId="138D33EC">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商务条款</w:t>
            </w:r>
          </w:p>
        </w:tc>
        <w:tc>
          <w:tcPr>
            <w:tcW w:w="2362" w:type="dxa"/>
            <w:tcBorders>
              <w:top w:val="single" w:color="auto" w:sz="4" w:space="0"/>
              <w:left w:val="single" w:color="auto" w:sz="4" w:space="0"/>
              <w:bottom w:val="single" w:color="auto" w:sz="4" w:space="0"/>
              <w:right w:val="single" w:color="auto" w:sz="4" w:space="0"/>
            </w:tcBorders>
            <w:vAlign w:val="center"/>
          </w:tcPr>
          <w:p w14:paraId="668E7DD2">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商务条款</w:t>
            </w:r>
          </w:p>
        </w:tc>
        <w:tc>
          <w:tcPr>
            <w:tcW w:w="1723" w:type="dxa"/>
            <w:tcBorders>
              <w:top w:val="single" w:color="auto" w:sz="4" w:space="0"/>
              <w:left w:val="single" w:color="auto" w:sz="4" w:space="0"/>
              <w:bottom w:val="single" w:color="auto" w:sz="4" w:space="0"/>
              <w:right w:val="single" w:color="auto" w:sz="4" w:space="0"/>
            </w:tcBorders>
            <w:vAlign w:val="center"/>
          </w:tcPr>
          <w:p w14:paraId="1138418B">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是否响应</w:t>
            </w:r>
          </w:p>
        </w:tc>
        <w:tc>
          <w:tcPr>
            <w:tcW w:w="1423" w:type="dxa"/>
            <w:tcBorders>
              <w:top w:val="single" w:color="auto" w:sz="4" w:space="0"/>
              <w:left w:val="single" w:color="auto" w:sz="4" w:space="0"/>
              <w:bottom w:val="single" w:color="auto" w:sz="4" w:space="0"/>
              <w:right w:val="single" w:color="auto" w:sz="4" w:space="0"/>
            </w:tcBorders>
            <w:vAlign w:val="center"/>
          </w:tcPr>
          <w:p w14:paraId="0F57E02C">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差异说明</w:t>
            </w:r>
          </w:p>
        </w:tc>
      </w:tr>
      <w:tr w14:paraId="19E8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E7106C2">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2617" w:type="dxa"/>
            <w:tcBorders>
              <w:top w:val="single" w:color="auto" w:sz="4" w:space="0"/>
              <w:left w:val="single" w:color="auto" w:sz="4" w:space="0"/>
              <w:bottom w:val="single" w:color="auto" w:sz="4" w:space="0"/>
              <w:right w:val="single" w:color="auto" w:sz="4" w:space="0"/>
            </w:tcBorders>
            <w:vAlign w:val="top"/>
          </w:tcPr>
          <w:p w14:paraId="3E39A88D">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362" w:type="dxa"/>
            <w:tcBorders>
              <w:top w:val="single" w:color="auto" w:sz="4" w:space="0"/>
              <w:left w:val="single" w:color="auto" w:sz="4" w:space="0"/>
              <w:bottom w:val="single" w:color="auto" w:sz="4" w:space="0"/>
              <w:right w:val="single" w:color="auto" w:sz="4" w:space="0"/>
            </w:tcBorders>
            <w:vAlign w:val="top"/>
          </w:tcPr>
          <w:p w14:paraId="0DCE4407">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vAlign w:val="top"/>
          </w:tcPr>
          <w:p w14:paraId="3A4C4DDF">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423" w:type="dxa"/>
            <w:tcBorders>
              <w:top w:val="single" w:color="auto" w:sz="4" w:space="0"/>
              <w:left w:val="single" w:color="auto" w:sz="4" w:space="0"/>
              <w:bottom w:val="single" w:color="auto" w:sz="4" w:space="0"/>
              <w:right w:val="single" w:color="auto" w:sz="4" w:space="0"/>
            </w:tcBorders>
            <w:vAlign w:val="top"/>
          </w:tcPr>
          <w:p w14:paraId="39F83126">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2228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2B83B45">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2617" w:type="dxa"/>
            <w:tcBorders>
              <w:top w:val="single" w:color="auto" w:sz="4" w:space="0"/>
              <w:left w:val="single" w:color="auto" w:sz="4" w:space="0"/>
              <w:bottom w:val="single" w:color="auto" w:sz="4" w:space="0"/>
              <w:right w:val="single" w:color="auto" w:sz="4" w:space="0"/>
            </w:tcBorders>
            <w:vAlign w:val="top"/>
          </w:tcPr>
          <w:p w14:paraId="0E2A4D27">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362" w:type="dxa"/>
            <w:tcBorders>
              <w:top w:val="single" w:color="auto" w:sz="4" w:space="0"/>
              <w:left w:val="single" w:color="auto" w:sz="4" w:space="0"/>
              <w:bottom w:val="single" w:color="auto" w:sz="4" w:space="0"/>
              <w:right w:val="single" w:color="auto" w:sz="4" w:space="0"/>
            </w:tcBorders>
            <w:vAlign w:val="top"/>
          </w:tcPr>
          <w:p w14:paraId="64D8351C">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vAlign w:val="top"/>
          </w:tcPr>
          <w:p w14:paraId="384703C6">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423" w:type="dxa"/>
            <w:tcBorders>
              <w:top w:val="single" w:color="auto" w:sz="4" w:space="0"/>
              <w:left w:val="single" w:color="auto" w:sz="4" w:space="0"/>
              <w:bottom w:val="single" w:color="auto" w:sz="4" w:space="0"/>
              <w:right w:val="single" w:color="auto" w:sz="4" w:space="0"/>
            </w:tcBorders>
            <w:vAlign w:val="top"/>
          </w:tcPr>
          <w:p w14:paraId="58E4A6B5">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73C4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09E02900">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2617" w:type="dxa"/>
            <w:tcBorders>
              <w:top w:val="single" w:color="auto" w:sz="4" w:space="0"/>
              <w:left w:val="single" w:color="auto" w:sz="4" w:space="0"/>
              <w:bottom w:val="single" w:color="auto" w:sz="4" w:space="0"/>
              <w:right w:val="single" w:color="auto" w:sz="4" w:space="0"/>
            </w:tcBorders>
            <w:vAlign w:val="top"/>
          </w:tcPr>
          <w:p w14:paraId="61266ACA">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362" w:type="dxa"/>
            <w:tcBorders>
              <w:top w:val="single" w:color="auto" w:sz="4" w:space="0"/>
              <w:left w:val="single" w:color="auto" w:sz="4" w:space="0"/>
              <w:bottom w:val="single" w:color="auto" w:sz="4" w:space="0"/>
              <w:right w:val="single" w:color="auto" w:sz="4" w:space="0"/>
            </w:tcBorders>
            <w:vAlign w:val="top"/>
          </w:tcPr>
          <w:p w14:paraId="5312ACF9">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vAlign w:val="top"/>
          </w:tcPr>
          <w:p w14:paraId="19CE3067">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423" w:type="dxa"/>
            <w:tcBorders>
              <w:top w:val="single" w:color="auto" w:sz="4" w:space="0"/>
              <w:left w:val="single" w:color="auto" w:sz="4" w:space="0"/>
              <w:bottom w:val="single" w:color="auto" w:sz="4" w:space="0"/>
              <w:right w:val="single" w:color="auto" w:sz="4" w:space="0"/>
            </w:tcBorders>
            <w:vAlign w:val="top"/>
          </w:tcPr>
          <w:p w14:paraId="347F0544">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1443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778A4748">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2617" w:type="dxa"/>
            <w:tcBorders>
              <w:top w:val="single" w:color="auto" w:sz="4" w:space="0"/>
              <w:left w:val="single" w:color="auto" w:sz="4" w:space="0"/>
              <w:bottom w:val="single" w:color="auto" w:sz="4" w:space="0"/>
              <w:right w:val="single" w:color="auto" w:sz="4" w:space="0"/>
            </w:tcBorders>
            <w:vAlign w:val="top"/>
          </w:tcPr>
          <w:p w14:paraId="4C90B5CA">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362" w:type="dxa"/>
            <w:tcBorders>
              <w:top w:val="single" w:color="auto" w:sz="4" w:space="0"/>
              <w:left w:val="single" w:color="auto" w:sz="4" w:space="0"/>
              <w:bottom w:val="single" w:color="auto" w:sz="4" w:space="0"/>
              <w:right w:val="single" w:color="auto" w:sz="4" w:space="0"/>
            </w:tcBorders>
            <w:vAlign w:val="top"/>
          </w:tcPr>
          <w:p w14:paraId="039C517F">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vAlign w:val="top"/>
          </w:tcPr>
          <w:p w14:paraId="34B35547">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423" w:type="dxa"/>
            <w:tcBorders>
              <w:top w:val="single" w:color="auto" w:sz="4" w:space="0"/>
              <w:left w:val="single" w:color="auto" w:sz="4" w:space="0"/>
              <w:bottom w:val="single" w:color="auto" w:sz="4" w:space="0"/>
              <w:right w:val="single" w:color="auto" w:sz="4" w:space="0"/>
            </w:tcBorders>
            <w:vAlign w:val="top"/>
          </w:tcPr>
          <w:p w14:paraId="092058B6">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4E7C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68EF23F9">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2617" w:type="dxa"/>
            <w:tcBorders>
              <w:top w:val="single" w:color="auto" w:sz="4" w:space="0"/>
              <w:left w:val="single" w:color="auto" w:sz="4" w:space="0"/>
              <w:bottom w:val="single" w:color="auto" w:sz="4" w:space="0"/>
              <w:right w:val="single" w:color="auto" w:sz="4" w:space="0"/>
            </w:tcBorders>
            <w:vAlign w:val="top"/>
          </w:tcPr>
          <w:p w14:paraId="3CA36D33">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362" w:type="dxa"/>
            <w:tcBorders>
              <w:top w:val="single" w:color="auto" w:sz="4" w:space="0"/>
              <w:left w:val="single" w:color="auto" w:sz="4" w:space="0"/>
              <w:bottom w:val="single" w:color="auto" w:sz="4" w:space="0"/>
              <w:right w:val="single" w:color="auto" w:sz="4" w:space="0"/>
            </w:tcBorders>
            <w:vAlign w:val="top"/>
          </w:tcPr>
          <w:p w14:paraId="71F126B3">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vAlign w:val="top"/>
          </w:tcPr>
          <w:p w14:paraId="4C343E99">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423" w:type="dxa"/>
            <w:tcBorders>
              <w:top w:val="single" w:color="auto" w:sz="4" w:space="0"/>
              <w:left w:val="single" w:color="auto" w:sz="4" w:space="0"/>
              <w:bottom w:val="single" w:color="auto" w:sz="4" w:space="0"/>
              <w:right w:val="single" w:color="auto" w:sz="4" w:space="0"/>
            </w:tcBorders>
            <w:vAlign w:val="top"/>
          </w:tcPr>
          <w:p w14:paraId="4DBDACEE">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71AB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65827EBB">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2617" w:type="dxa"/>
            <w:tcBorders>
              <w:top w:val="single" w:color="auto" w:sz="4" w:space="0"/>
              <w:left w:val="single" w:color="auto" w:sz="4" w:space="0"/>
              <w:bottom w:val="single" w:color="auto" w:sz="4" w:space="0"/>
              <w:right w:val="single" w:color="auto" w:sz="4" w:space="0"/>
            </w:tcBorders>
            <w:vAlign w:val="top"/>
          </w:tcPr>
          <w:p w14:paraId="1F150C2D">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362" w:type="dxa"/>
            <w:tcBorders>
              <w:top w:val="single" w:color="auto" w:sz="4" w:space="0"/>
              <w:left w:val="single" w:color="auto" w:sz="4" w:space="0"/>
              <w:bottom w:val="single" w:color="auto" w:sz="4" w:space="0"/>
              <w:right w:val="single" w:color="auto" w:sz="4" w:space="0"/>
            </w:tcBorders>
            <w:vAlign w:val="top"/>
          </w:tcPr>
          <w:p w14:paraId="642734E0">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vAlign w:val="top"/>
          </w:tcPr>
          <w:p w14:paraId="58ECF7B3">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423" w:type="dxa"/>
            <w:tcBorders>
              <w:top w:val="single" w:color="auto" w:sz="4" w:space="0"/>
              <w:left w:val="single" w:color="auto" w:sz="4" w:space="0"/>
              <w:bottom w:val="single" w:color="auto" w:sz="4" w:space="0"/>
              <w:right w:val="single" w:color="auto" w:sz="4" w:space="0"/>
            </w:tcBorders>
            <w:vAlign w:val="top"/>
          </w:tcPr>
          <w:p w14:paraId="4E8337F8">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3A0E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1B7C3BA">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2617" w:type="dxa"/>
            <w:tcBorders>
              <w:top w:val="single" w:color="auto" w:sz="4" w:space="0"/>
              <w:left w:val="single" w:color="auto" w:sz="4" w:space="0"/>
              <w:bottom w:val="single" w:color="auto" w:sz="4" w:space="0"/>
              <w:right w:val="single" w:color="auto" w:sz="4" w:space="0"/>
            </w:tcBorders>
            <w:vAlign w:val="top"/>
          </w:tcPr>
          <w:p w14:paraId="7D6A4496">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362" w:type="dxa"/>
            <w:tcBorders>
              <w:top w:val="single" w:color="auto" w:sz="4" w:space="0"/>
              <w:left w:val="single" w:color="auto" w:sz="4" w:space="0"/>
              <w:bottom w:val="single" w:color="auto" w:sz="4" w:space="0"/>
              <w:right w:val="single" w:color="auto" w:sz="4" w:space="0"/>
            </w:tcBorders>
            <w:vAlign w:val="top"/>
          </w:tcPr>
          <w:p w14:paraId="4C350FD9">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vAlign w:val="top"/>
          </w:tcPr>
          <w:p w14:paraId="37ACFA2A">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423" w:type="dxa"/>
            <w:tcBorders>
              <w:top w:val="single" w:color="auto" w:sz="4" w:space="0"/>
              <w:left w:val="single" w:color="auto" w:sz="4" w:space="0"/>
              <w:bottom w:val="single" w:color="auto" w:sz="4" w:space="0"/>
              <w:right w:val="single" w:color="auto" w:sz="4" w:space="0"/>
            </w:tcBorders>
            <w:vAlign w:val="top"/>
          </w:tcPr>
          <w:p w14:paraId="67A671AF">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0811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03E58D53">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2617" w:type="dxa"/>
            <w:tcBorders>
              <w:top w:val="single" w:color="auto" w:sz="4" w:space="0"/>
              <w:left w:val="single" w:color="auto" w:sz="4" w:space="0"/>
              <w:bottom w:val="single" w:color="auto" w:sz="4" w:space="0"/>
              <w:right w:val="single" w:color="auto" w:sz="4" w:space="0"/>
            </w:tcBorders>
            <w:vAlign w:val="top"/>
          </w:tcPr>
          <w:p w14:paraId="5F0A0A3C">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b/>
                <w:color w:val="auto"/>
                <w:sz w:val="24"/>
                <w:highlight w:val="none"/>
              </w:rPr>
            </w:pPr>
          </w:p>
        </w:tc>
        <w:tc>
          <w:tcPr>
            <w:tcW w:w="2362" w:type="dxa"/>
            <w:tcBorders>
              <w:top w:val="single" w:color="auto" w:sz="4" w:space="0"/>
              <w:left w:val="single" w:color="auto" w:sz="4" w:space="0"/>
              <w:bottom w:val="single" w:color="auto" w:sz="4" w:space="0"/>
              <w:right w:val="single" w:color="auto" w:sz="4" w:space="0"/>
            </w:tcBorders>
            <w:vAlign w:val="top"/>
          </w:tcPr>
          <w:p w14:paraId="502F33B4">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vAlign w:val="top"/>
          </w:tcPr>
          <w:p w14:paraId="066CB1E9">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423" w:type="dxa"/>
            <w:tcBorders>
              <w:top w:val="single" w:color="auto" w:sz="4" w:space="0"/>
              <w:left w:val="single" w:color="auto" w:sz="4" w:space="0"/>
              <w:bottom w:val="single" w:color="auto" w:sz="4" w:space="0"/>
              <w:right w:val="single" w:color="auto" w:sz="4" w:space="0"/>
            </w:tcBorders>
            <w:vAlign w:val="top"/>
          </w:tcPr>
          <w:p w14:paraId="2C262A3C">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6B18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AD75D08">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2617" w:type="dxa"/>
            <w:tcBorders>
              <w:top w:val="single" w:color="auto" w:sz="4" w:space="0"/>
              <w:left w:val="single" w:color="auto" w:sz="4" w:space="0"/>
              <w:bottom w:val="single" w:color="auto" w:sz="4" w:space="0"/>
              <w:right w:val="single" w:color="auto" w:sz="4" w:space="0"/>
            </w:tcBorders>
            <w:vAlign w:val="top"/>
          </w:tcPr>
          <w:p w14:paraId="2DC3FB62">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b/>
                <w:color w:val="auto"/>
                <w:sz w:val="24"/>
                <w:highlight w:val="none"/>
              </w:rPr>
            </w:pPr>
          </w:p>
        </w:tc>
        <w:tc>
          <w:tcPr>
            <w:tcW w:w="2362" w:type="dxa"/>
            <w:tcBorders>
              <w:top w:val="single" w:color="auto" w:sz="4" w:space="0"/>
              <w:left w:val="single" w:color="auto" w:sz="4" w:space="0"/>
              <w:bottom w:val="single" w:color="auto" w:sz="4" w:space="0"/>
              <w:right w:val="single" w:color="auto" w:sz="4" w:space="0"/>
            </w:tcBorders>
            <w:vAlign w:val="top"/>
          </w:tcPr>
          <w:p w14:paraId="02475434">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vAlign w:val="top"/>
          </w:tcPr>
          <w:p w14:paraId="38CE9CC4">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423" w:type="dxa"/>
            <w:tcBorders>
              <w:top w:val="single" w:color="auto" w:sz="4" w:space="0"/>
              <w:left w:val="single" w:color="auto" w:sz="4" w:space="0"/>
              <w:bottom w:val="single" w:color="auto" w:sz="4" w:space="0"/>
              <w:right w:val="single" w:color="auto" w:sz="4" w:space="0"/>
            </w:tcBorders>
            <w:vAlign w:val="top"/>
          </w:tcPr>
          <w:p w14:paraId="32FA64B5">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bl>
    <w:p w14:paraId="36B83006">
      <w:pPr>
        <w:wordWrap w:val="0"/>
        <w:adjustRightInd w:val="0"/>
        <w:snapToGrid w:val="0"/>
        <w:spacing w:line="360" w:lineRule="auto"/>
        <w:ind w:right="176" w:rightChars="84"/>
        <w:rPr>
          <w:rFonts w:hint="eastAsia" w:ascii="仿宋" w:hAnsi="仿宋" w:eastAsia="仿宋" w:cs="仿宋"/>
          <w:b/>
          <w:color w:val="auto"/>
          <w:sz w:val="28"/>
          <w:szCs w:val="28"/>
          <w:highlight w:val="none"/>
          <w:u w:val="single"/>
        </w:rPr>
      </w:pPr>
      <w:r>
        <w:rPr>
          <w:rFonts w:hint="eastAsia" w:ascii="仿宋" w:hAnsi="仿宋" w:eastAsia="仿宋" w:cs="仿宋"/>
          <w:b/>
          <w:color w:val="auto"/>
          <w:sz w:val="24"/>
          <w:highlight w:val="none"/>
        </w:rPr>
        <w:t>注：上表中所引用的顺序和编号应与</w:t>
      </w:r>
      <w:r>
        <w:rPr>
          <w:rFonts w:hint="eastAsia" w:ascii="仿宋" w:hAnsi="仿宋" w:eastAsia="仿宋" w:cs="仿宋"/>
          <w:b/>
          <w:color w:val="auto"/>
          <w:sz w:val="24"/>
          <w:highlight w:val="none"/>
          <w:lang w:eastAsia="zh-CN"/>
        </w:rPr>
        <w:t>采购文件</w:t>
      </w:r>
      <w:r>
        <w:rPr>
          <w:rFonts w:hint="eastAsia" w:ascii="仿宋" w:hAnsi="仿宋" w:eastAsia="仿宋" w:cs="仿宋"/>
          <w:b/>
          <w:color w:val="auto"/>
          <w:sz w:val="24"/>
          <w:highlight w:val="none"/>
        </w:rPr>
        <w:t>“第二部分　</w:t>
      </w:r>
      <w:r>
        <w:rPr>
          <w:rFonts w:hint="eastAsia" w:ascii="仿宋" w:hAnsi="仿宋" w:eastAsia="仿宋" w:cs="仿宋"/>
          <w:b/>
          <w:color w:val="auto"/>
          <w:sz w:val="24"/>
          <w:highlight w:val="none"/>
          <w:lang w:eastAsia="zh-CN"/>
        </w:rPr>
        <w:t>采购项目内容</w:t>
      </w:r>
      <w:r>
        <w:rPr>
          <w:rFonts w:hint="eastAsia" w:ascii="仿宋" w:hAnsi="仿宋" w:eastAsia="仿宋" w:cs="仿宋"/>
          <w:b/>
          <w:color w:val="auto"/>
          <w:sz w:val="24"/>
          <w:highlight w:val="none"/>
        </w:rPr>
        <w:t xml:space="preserve">”的“二、 </w:t>
      </w:r>
      <w:r>
        <w:rPr>
          <w:rFonts w:hint="eastAsia" w:ascii="仿宋" w:hAnsi="仿宋" w:eastAsia="仿宋" w:cs="仿宋"/>
          <w:b/>
          <w:color w:val="auto"/>
          <w:sz w:val="24"/>
          <w:highlight w:val="none"/>
          <w:lang w:eastAsia="zh-CN"/>
        </w:rPr>
        <w:t>采购项目</w:t>
      </w:r>
      <w:r>
        <w:rPr>
          <w:rFonts w:hint="eastAsia" w:ascii="仿宋" w:hAnsi="仿宋" w:eastAsia="仿宋" w:cs="仿宋"/>
          <w:b/>
          <w:color w:val="auto"/>
          <w:sz w:val="24"/>
          <w:highlight w:val="none"/>
        </w:rPr>
        <w:t>商务要求”的要求相一致。</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在具体的</w:t>
      </w:r>
      <w:r>
        <w:rPr>
          <w:rFonts w:hint="eastAsia" w:ascii="仿宋" w:hAnsi="仿宋" w:eastAsia="仿宋" w:cs="仿宋"/>
          <w:b/>
          <w:color w:val="auto"/>
          <w:sz w:val="24"/>
          <w:highlight w:val="none"/>
          <w:lang w:eastAsia="zh-CN"/>
        </w:rPr>
        <w:t>投标内容</w:t>
      </w:r>
      <w:r>
        <w:rPr>
          <w:rFonts w:hint="eastAsia" w:ascii="仿宋" w:hAnsi="仿宋" w:eastAsia="仿宋" w:cs="仿宋"/>
          <w:b/>
          <w:color w:val="auto"/>
          <w:sz w:val="24"/>
          <w:highlight w:val="none"/>
        </w:rPr>
        <w:t>中应</w:t>
      </w:r>
      <w:r>
        <w:rPr>
          <w:rFonts w:hint="eastAsia" w:ascii="仿宋" w:hAnsi="仿宋" w:eastAsia="仿宋" w:cs="仿宋"/>
          <w:b/>
          <w:color w:val="auto"/>
          <w:sz w:val="32"/>
          <w:szCs w:val="32"/>
          <w:highlight w:val="none"/>
          <w:u w:val="single"/>
        </w:rPr>
        <w:t>逐条</w:t>
      </w:r>
      <w:r>
        <w:rPr>
          <w:rFonts w:hint="eastAsia" w:ascii="仿宋" w:hAnsi="仿宋" w:eastAsia="仿宋" w:cs="仿宋"/>
          <w:b/>
          <w:color w:val="auto"/>
          <w:sz w:val="24"/>
          <w:highlight w:val="none"/>
        </w:rPr>
        <w:t>进行响应，可以增加说明或描述性文字。如</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完全响应，在“是否响应”栏内填“是”，如</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提供的条款优于</w:t>
      </w:r>
      <w:r>
        <w:rPr>
          <w:rFonts w:hint="eastAsia" w:ascii="仿宋" w:hAnsi="仿宋" w:eastAsia="仿宋" w:cs="仿宋"/>
          <w:b/>
          <w:color w:val="auto"/>
          <w:sz w:val="24"/>
          <w:highlight w:val="none"/>
          <w:lang w:eastAsia="zh-CN"/>
        </w:rPr>
        <w:t>采购要求</w:t>
      </w:r>
      <w:r>
        <w:rPr>
          <w:rFonts w:hint="eastAsia" w:ascii="仿宋" w:hAnsi="仿宋" w:eastAsia="仿宋" w:cs="仿宋"/>
          <w:b/>
          <w:color w:val="auto"/>
          <w:sz w:val="24"/>
          <w:highlight w:val="none"/>
        </w:rPr>
        <w:t>，则填写“正偏离”，如</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提供的条款低于</w:t>
      </w:r>
      <w:r>
        <w:rPr>
          <w:rFonts w:hint="eastAsia" w:ascii="仿宋" w:hAnsi="仿宋" w:eastAsia="仿宋" w:cs="仿宋"/>
          <w:b/>
          <w:color w:val="auto"/>
          <w:sz w:val="24"/>
          <w:highlight w:val="none"/>
          <w:lang w:eastAsia="zh-CN"/>
        </w:rPr>
        <w:t>采购要求</w:t>
      </w:r>
      <w:r>
        <w:rPr>
          <w:rFonts w:hint="eastAsia" w:ascii="仿宋" w:hAnsi="仿宋" w:eastAsia="仿宋" w:cs="仿宋"/>
          <w:b/>
          <w:color w:val="auto"/>
          <w:sz w:val="24"/>
          <w:highlight w:val="none"/>
        </w:rPr>
        <w:t>，则填写“负偏离”。</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如没有对</w:t>
      </w:r>
      <w:r>
        <w:rPr>
          <w:rFonts w:hint="eastAsia" w:ascii="仿宋" w:hAnsi="仿宋" w:eastAsia="仿宋" w:cs="仿宋"/>
          <w:b/>
          <w:color w:val="auto"/>
          <w:sz w:val="24"/>
          <w:highlight w:val="none"/>
          <w:lang w:eastAsia="zh-CN"/>
        </w:rPr>
        <w:t>采购文件</w:t>
      </w:r>
      <w:r>
        <w:rPr>
          <w:rFonts w:hint="eastAsia" w:ascii="仿宋" w:hAnsi="仿宋" w:eastAsia="仿宋" w:cs="仿宋"/>
          <w:b/>
          <w:color w:val="auto"/>
          <w:sz w:val="24"/>
          <w:highlight w:val="none"/>
        </w:rPr>
        <w:t>条款的响应情况进行填写即为不响应该</w:t>
      </w:r>
      <w:r>
        <w:rPr>
          <w:rFonts w:hint="eastAsia" w:ascii="仿宋" w:hAnsi="仿宋" w:eastAsia="仿宋" w:cs="仿宋"/>
          <w:b/>
          <w:color w:val="auto"/>
          <w:sz w:val="24"/>
          <w:highlight w:val="none"/>
          <w:lang w:eastAsia="zh-CN"/>
        </w:rPr>
        <w:t>采购文件</w:t>
      </w:r>
      <w:r>
        <w:rPr>
          <w:rFonts w:hint="eastAsia" w:ascii="仿宋" w:hAnsi="仿宋" w:eastAsia="仿宋" w:cs="仿宋"/>
          <w:b/>
          <w:color w:val="auto"/>
          <w:sz w:val="24"/>
          <w:highlight w:val="none"/>
        </w:rPr>
        <w:t>条款。</w:t>
      </w:r>
      <w:r>
        <w:rPr>
          <w:rFonts w:hint="eastAsia" w:ascii="仿宋" w:hAnsi="仿宋" w:eastAsia="仿宋" w:cs="仿宋"/>
          <w:b/>
          <w:color w:val="auto"/>
          <w:sz w:val="24"/>
          <w:highlight w:val="none"/>
          <w:lang w:eastAsia="zh-CN"/>
        </w:rPr>
        <w:t>投标文件</w:t>
      </w:r>
      <w:r>
        <w:rPr>
          <w:rFonts w:hint="eastAsia" w:ascii="仿宋" w:hAnsi="仿宋" w:eastAsia="仿宋" w:cs="仿宋"/>
          <w:b/>
          <w:color w:val="auto"/>
          <w:sz w:val="24"/>
          <w:highlight w:val="none"/>
        </w:rPr>
        <w:t>与</w:t>
      </w:r>
      <w:r>
        <w:rPr>
          <w:rFonts w:hint="eastAsia" w:ascii="仿宋" w:hAnsi="仿宋" w:eastAsia="仿宋" w:cs="仿宋"/>
          <w:b/>
          <w:color w:val="auto"/>
          <w:sz w:val="24"/>
          <w:highlight w:val="none"/>
          <w:lang w:eastAsia="zh-CN"/>
        </w:rPr>
        <w:t>采购文件</w:t>
      </w:r>
      <w:r>
        <w:rPr>
          <w:rFonts w:hint="eastAsia" w:ascii="仿宋" w:hAnsi="仿宋" w:eastAsia="仿宋" w:cs="仿宋"/>
          <w:b/>
          <w:color w:val="auto"/>
          <w:sz w:val="24"/>
          <w:highlight w:val="none"/>
        </w:rPr>
        <w:t>的任何差异之处，均应按本表格式在“差异说明”栏中逐一说明，优于</w:t>
      </w:r>
      <w:r>
        <w:rPr>
          <w:rFonts w:hint="eastAsia" w:ascii="仿宋" w:hAnsi="仿宋" w:eastAsia="仿宋" w:cs="仿宋"/>
          <w:b/>
          <w:color w:val="auto"/>
          <w:sz w:val="24"/>
          <w:highlight w:val="none"/>
          <w:lang w:eastAsia="zh-CN"/>
        </w:rPr>
        <w:t>采购要求</w:t>
      </w:r>
      <w:r>
        <w:rPr>
          <w:rFonts w:hint="eastAsia" w:ascii="仿宋" w:hAnsi="仿宋" w:eastAsia="仿宋" w:cs="仿宋"/>
          <w:b/>
          <w:color w:val="auto"/>
          <w:sz w:val="24"/>
          <w:highlight w:val="none"/>
        </w:rPr>
        <w:t>的，可提供相关证明资料。</w:t>
      </w:r>
      <w:r>
        <w:rPr>
          <w:rFonts w:hint="eastAsia" w:ascii="仿宋" w:hAnsi="仿宋" w:eastAsia="仿宋" w:cs="仿宋"/>
          <w:b/>
          <w:color w:val="auto"/>
          <w:sz w:val="28"/>
          <w:szCs w:val="28"/>
          <w:highlight w:val="none"/>
          <w:u w:val="single"/>
        </w:rPr>
        <w:t>实质性条款如不响应或负偏离的，将导致</w:t>
      </w:r>
      <w:r>
        <w:rPr>
          <w:rFonts w:hint="eastAsia" w:ascii="仿宋" w:hAnsi="仿宋" w:eastAsia="仿宋" w:cs="仿宋"/>
          <w:b/>
          <w:color w:val="auto"/>
          <w:sz w:val="28"/>
          <w:szCs w:val="28"/>
          <w:highlight w:val="none"/>
          <w:u w:val="single"/>
          <w:lang w:eastAsia="zh-CN"/>
        </w:rPr>
        <w:t>投标</w:t>
      </w:r>
      <w:r>
        <w:rPr>
          <w:rFonts w:hint="eastAsia" w:ascii="仿宋" w:hAnsi="仿宋" w:eastAsia="仿宋" w:cs="仿宋"/>
          <w:b/>
          <w:color w:val="auto"/>
          <w:sz w:val="28"/>
          <w:szCs w:val="28"/>
          <w:highlight w:val="none"/>
          <w:u w:val="single"/>
        </w:rPr>
        <w:t>无效。</w:t>
      </w:r>
    </w:p>
    <w:p w14:paraId="6B268B6C">
      <w:pPr>
        <w:wordWrap w:val="0"/>
        <w:adjustRightInd w:val="0"/>
        <w:snapToGrid w:val="0"/>
        <w:spacing w:line="360" w:lineRule="auto"/>
        <w:rPr>
          <w:rFonts w:hint="eastAsia" w:ascii="仿宋" w:hAnsi="仿宋" w:eastAsia="仿宋" w:cs="仿宋"/>
          <w:b/>
          <w:color w:val="auto"/>
          <w:szCs w:val="21"/>
          <w:highlight w:val="none"/>
        </w:rPr>
      </w:pPr>
    </w:p>
    <w:p w14:paraId="1DE7B669">
      <w:pPr>
        <w:wordWrap w:val="0"/>
        <w:adjustRightInd w:val="0"/>
        <w:snapToGrid w:val="0"/>
        <w:rPr>
          <w:rFonts w:hint="eastAsia" w:ascii="仿宋" w:hAnsi="仿宋" w:eastAsia="仿宋" w:cs="仿宋"/>
          <w:color w:val="auto"/>
          <w:sz w:val="16"/>
          <w:highlight w:val="none"/>
        </w:rPr>
      </w:pPr>
    </w:p>
    <w:p w14:paraId="63B68E13">
      <w:pPr>
        <w:wordWrap w:val="0"/>
        <w:adjustRightInd w:val="0"/>
        <w:snapToGrid w:val="0"/>
        <w:spacing w:line="300" w:lineRule="auto"/>
        <w:rPr>
          <w:rFonts w:hint="eastAsia" w:ascii="仿宋" w:hAnsi="仿宋" w:eastAsia="仿宋" w:cs="仿宋"/>
          <w:color w:val="auto"/>
          <w:sz w:val="22"/>
          <w:highlight w:val="none"/>
        </w:rPr>
      </w:pPr>
      <w:r>
        <w:rPr>
          <w:rFonts w:hint="eastAsia" w:ascii="仿宋" w:hAnsi="仿宋" w:eastAsia="仿宋" w:cs="仿宋"/>
          <w:color w:val="auto"/>
          <w:sz w:val="22"/>
          <w:highlight w:val="none"/>
          <w:lang w:eastAsia="zh-CN"/>
        </w:rPr>
        <w:t>投标人</w:t>
      </w:r>
      <w:r>
        <w:rPr>
          <w:rFonts w:hint="eastAsia" w:ascii="仿宋" w:hAnsi="仿宋" w:eastAsia="仿宋" w:cs="仿宋"/>
          <w:color w:val="auto"/>
          <w:sz w:val="22"/>
          <w:highlight w:val="none"/>
        </w:rPr>
        <w:t>法定代表人/负责人（或法定代表人/负责人授权代表）签字：</w:t>
      </w:r>
      <w:r>
        <w:rPr>
          <w:rFonts w:hint="eastAsia" w:ascii="仿宋" w:hAnsi="仿宋" w:eastAsia="仿宋" w:cs="仿宋"/>
          <w:color w:val="auto"/>
          <w:sz w:val="22"/>
          <w:highlight w:val="none"/>
          <w:u w:val="single"/>
        </w:rPr>
        <w:t xml:space="preserve">                  </w:t>
      </w:r>
    </w:p>
    <w:p w14:paraId="60D53E3F">
      <w:pPr>
        <w:wordWrap w:val="0"/>
        <w:adjustRightInd w:val="0"/>
        <w:snapToGrid w:val="0"/>
        <w:spacing w:line="300" w:lineRule="auto"/>
        <w:rPr>
          <w:rFonts w:hint="eastAsia" w:ascii="仿宋" w:hAnsi="仿宋" w:eastAsia="仿宋" w:cs="仿宋"/>
          <w:color w:val="auto"/>
          <w:sz w:val="22"/>
          <w:highlight w:val="none"/>
          <w:u w:val="single"/>
        </w:rPr>
      </w:pPr>
      <w:r>
        <w:rPr>
          <w:rFonts w:hint="eastAsia" w:ascii="仿宋" w:hAnsi="仿宋" w:eastAsia="仿宋" w:cs="仿宋"/>
          <w:color w:val="auto"/>
          <w:sz w:val="22"/>
          <w:highlight w:val="none"/>
          <w:lang w:eastAsia="zh-CN"/>
        </w:rPr>
        <w:t>投标人</w:t>
      </w:r>
      <w:r>
        <w:rPr>
          <w:rFonts w:hint="eastAsia" w:ascii="仿宋" w:hAnsi="仿宋" w:eastAsia="仿宋" w:cs="仿宋"/>
          <w:color w:val="auto"/>
          <w:sz w:val="22"/>
          <w:highlight w:val="none"/>
        </w:rPr>
        <w:t>名称(加盖公章) ：</w:t>
      </w:r>
      <w:r>
        <w:rPr>
          <w:rFonts w:hint="eastAsia" w:ascii="仿宋" w:hAnsi="仿宋" w:eastAsia="仿宋" w:cs="仿宋"/>
          <w:color w:val="auto"/>
          <w:sz w:val="22"/>
          <w:highlight w:val="none"/>
          <w:u w:val="single"/>
        </w:rPr>
        <w:t xml:space="preserve">                  </w:t>
      </w:r>
    </w:p>
    <w:p w14:paraId="49DB2156">
      <w:pPr>
        <w:wordWrap w:val="0"/>
        <w:adjustRightInd w:val="0"/>
        <w:snapToGrid w:val="0"/>
        <w:rPr>
          <w:rFonts w:hint="eastAsia" w:ascii="仿宋" w:hAnsi="仿宋" w:eastAsia="仿宋" w:cs="仿宋"/>
          <w:b/>
          <w:color w:val="auto"/>
          <w:sz w:val="24"/>
          <w:highlight w:val="none"/>
        </w:rPr>
      </w:pPr>
      <w:r>
        <w:rPr>
          <w:rFonts w:hint="eastAsia" w:ascii="仿宋" w:hAnsi="仿宋" w:eastAsia="仿宋" w:cs="仿宋"/>
          <w:color w:val="auto"/>
          <w:sz w:val="22"/>
          <w:highlight w:val="none"/>
        </w:rPr>
        <w:t>日期：   年   月   日</w:t>
      </w:r>
    </w:p>
    <w:p w14:paraId="7044CE5B">
      <w:pPr>
        <w:tabs>
          <w:tab w:val="left" w:pos="540"/>
        </w:tabs>
        <w:wordWrap w:val="0"/>
        <w:adjustRightInd w:val="0"/>
        <w:snapToGrid w:val="0"/>
        <w:spacing w:line="360" w:lineRule="auto"/>
        <w:ind w:left="138"/>
        <w:rPr>
          <w:rFonts w:hint="eastAsia" w:ascii="仿宋" w:hAnsi="仿宋" w:eastAsia="仿宋" w:cs="仿宋"/>
          <w:b/>
          <w:color w:val="auto"/>
          <w:sz w:val="28"/>
          <w:szCs w:val="28"/>
          <w:highlight w:val="none"/>
        </w:rPr>
      </w:pPr>
    </w:p>
    <w:p w14:paraId="361E5586">
      <w:pPr>
        <w:pStyle w:val="5"/>
        <w:keepNext w:val="0"/>
        <w:keepLines w:val="0"/>
        <w:wordWrap w:val="0"/>
        <w:adjustRightInd w:val="0"/>
        <w:snapToGrid w:val="0"/>
        <w:spacing w:line="240" w:lineRule="auto"/>
        <w:jc w:val="center"/>
        <w:rPr>
          <w:rFonts w:hint="eastAsia" w:ascii="仿宋" w:hAnsi="仿宋" w:eastAsia="仿宋" w:cs="仿宋"/>
          <w:bCs w:val="0"/>
          <w:color w:val="auto"/>
          <w:sz w:val="26"/>
          <w:highlight w:val="none"/>
          <w:lang w:eastAsia="zh-CN"/>
        </w:rPr>
      </w:pPr>
      <w:r>
        <w:rPr>
          <w:rFonts w:hint="eastAsia" w:ascii="仿宋" w:hAnsi="仿宋" w:eastAsia="仿宋" w:cs="仿宋"/>
          <w:bCs w:val="0"/>
          <w:color w:val="auto"/>
          <w:sz w:val="26"/>
          <w:highlight w:val="none"/>
        </w:rPr>
        <w:br w:type="page"/>
      </w:r>
      <w:r>
        <w:rPr>
          <w:rFonts w:hint="eastAsia" w:ascii="仿宋" w:hAnsi="仿宋" w:eastAsia="仿宋" w:cs="仿宋"/>
          <w:bCs w:val="0"/>
          <w:color w:val="auto"/>
          <w:sz w:val="26"/>
          <w:highlight w:val="none"/>
          <w:lang w:eastAsia="zh-CN"/>
        </w:rPr>
        <w:t>服务响应、偏离说明表</w:t>
      </w:r>
    </w:p>
    <w:p w14:paraId="170DBDD8">
      <w:pPr>
        <w:wordWrap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 xml:space="preserve">JG       </w:t>
      </w:r>
      <w:r>
        <w:rPr>
          <w:rFonts w:hint="eastAsia" w:ascii="仿宋" w:hAnsi="仿宋" w:eastAsia="仿宋" w:cs="仿宋"/>
          <w:color w:val="auto"/>
          <w:sz w:val="24"/>
          <w:highlight w:val="none"/>
        </w:rPr>
        <w:t xml:space="preserve">      </w:t>
      </w:r>
    </w:p>
    <w:p w14:paraId="24548111">
      <w:pPr>
        <w:wordWrap w:val="0"/>
        <w:adjustRightInd w:val="0"/>
        <w:snapToGrid w:val="0"/>
        <w:spacing w:line="360" w:lineRule="auto"/>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桂城街道叠北社区市政管理一体化服务</w:t>
      </w:r>
    </w:p>
    <w:tbl>
      <w:tblPr>
        <w:tblStyle w:val="23"/>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3203"/>
        <w:gridCol w:w="2155"/>
        <w:gridCol w:w="1340"/>
        <w:gridCol w:w="1299"/>
      </w:tblGrid>
      <w:tr w14:paraId="7DDF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860" w:type="dxa"/>
            <w:gridSpan w:val="5"/>
            <w:tcBorders>
              <w:top w:val="single" w:color="auto" w:sz="4" w:space="0"/>
              <w:left w:val="single" w:color="auto" w:sz="4" w:space="0"/>
              <w:bottom w:val="single" w:color="auto" w:sz="4" w:space="0"/>
              <w:right w:val="single" w:color="auto" w:sz="4" w:space="0"/>
            </w:tcBorders>
            <w:vAlign w:val="center"/>
          </w:tcPr>
          <w:p w14:paraId="7C0FB157">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w:t>
            </w:r>
            <w:r>
              <w:rPr>
                <w:rFonts w:hint="eastAsia" w:ascii="仿宋" w:hAnsi="仿宋" w:eastAsia="仿宋" w:cs="仿宋"/>
                <w:b/>
                <w:bCs/>
                <w:color w:val="auto"/>
                <w:sz w:val="24"/>
                <w:highlight w:val="none"/>
                <w:lang w:eastAsia="zh-CN"/>
              </w:rPr>
              <w:t>采购项目服务要求</w:t>
            </w:r>
            <w:r>
              <w:rPr>
                <w:rFonts w:hint="eastAsia" w:ascii="仿宋" w:hAnsi="仿宋" w:eastAsia="仿宋" w:cs="仿宋"/>
                <w:b/>
                <w:bCs/>
                <w:color w:val="auto"/>
                <w:sz w:val="24"/>
                <w:highlight w:val="none"/>
              </w:rPr>
              <w:t>”的全部条款的响应情况</w:t>
            </w:r>
          </w:p>
        </w:tc>
      </w:tr>
      <w:tr w14:paraId="3517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3" w:type="dxa"/>
            <w:tcBorders>
              <w:top w:val="single" w:color="auto" w:sz="4" w:space="0"/>
              <w:left w:val="single" w:color="auto" w:sz="4" w:space="0"/>
              <w:bottom w:val="single" w:color="auto" w:sz="4" w:space="0"/>
              <w:right w:val="single" w:color="auto" w:sz="4" w:space="0"/>
            </w:tcBorders>
            <w:vAlign w:val="center"/>
          </w:tcPr>
          <w:p w14:paraId="323E7415">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203" w:type="dxa"/>
            <w:tcBorders>
              <w:top w:val="single" w:color="auto" w:sz="4" w:space="0"/>
              <w:left w:val="single" w:color="auto" w:sz="4" w:space="0"/>
              <w:bottom w:val="single" w:color="auto" w:sz="4" w:space="0"/>
              <w:right w:val="single" w:color="auto" w:sz="4" w:space="0"/>
            </w:tcBorders>
            <w:vAlign w:val="center"/>
          </w:tcPr>
          <w:p w14:paraId="14A1FDB4">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服务条款</w:t>
            </w:r>
          </w:p>
        </w:tc>
        <w:tc>
          <w:tcPr>
            <w:tcW w:w="2155" w:type="dxa"/>
            <w:tcBorders>
              <w:top w:val="single" w:color="auto" w:sz="4" w:space="0"/>
              <w:left w:val="single" w:color="auto" w:sz="4" w:space="0"/>
              <w:bottom w:val="single" w:color="auto" w:sz="4" w:space="0"/>
              <w:right w:val="single" w:color="auto" w:sz="4" w:space="0"/>
            </w:tcBorders>
            <w:vAlign w:val="center"/>
          </w:tcPr>
          <w:p w14:paraId="1CD36CA5">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服务条款</w:t>
            </w:r>
          </w:p>
        </w:tc>
        <w:tc>
          <w:tcPr>
            <w:tcW w:w="1340" w:type="dxa"/>
            <w:tcBorders>
              <w:top w:val="single" w:color="auto" w:sz="4" w:space="0"/>
              <w:left w:val="single" w:color="auto" w:sz="4" w:space="0"/>
              <w:bottom w:val="single" w:color="auto" w:sz="4" w:space="0"/>
              <w:right w:val="single" w:color="auto" w:sz="4" w:space="0"/>
            </w:tcBorders>
            <w:vAlign w:val="center"/>
          </w:tcPr>
          <w:p w14:paraId="7C94C187">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是否响应</w:t>
            </w:r>
          </w:p>
        </w:tc>
        <w:tc>
          <w:tcPr>
            <w:tcW w:w="1299" w:type="dxa"/>
            <w:tcBorders>
              <w:top w:val="single" w:color="auto" w:sz="4" w:space="0"/>
              <w:left w:val="single" w:color="auto" w:sz="4" w:space="0"/>
              <w:bottom w:val="single" w:color="auto" w:sz="4" w:space="0"/>
              <w:right w:val="single" w:color="auto" w:sz="4" w:space="0"/>
            </w:tcBorders>
            <w:vAlign w:val="center"/>
          </w:tcPr>
          <w:p w14:paraId="6AC1FE0A">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差异说明</w:t>
            </w:r>
          </w:p>
        </w:tc>
      </w:tr>
      <w:tr w14:paraId="1CDD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7A3444F1">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3203" w:type="dxa"/>
            <w:tcBorders>
              <w:top w:val="single" w:color="auto" w:sz="4" w:space="0"/>
              <w:left w:val="single" w:color="auto" w:sz="4" w:space="0"/>
              <w:bottom w:val="single" w:color="auto" w:sz="4" w:space="0"/>
              <w:right w:val="single" w:color="auto" w:sz="4" w:space="0"/>
            </w:tcBorders>
            <w:vAlign w:val="top"/>
          </w:tcPr>
          <w:p w14:paraId="37E4318A">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155" w:type="dxa"/>
            <w:tcBorders>
              <w:top w:val="single" w:color="auto" w:sz="4" w:space="0"/>
              <w:left w:val="single" w:color="auto" w:sz="4" w:space="0"/>
              <w:bottom w:val="single" w:color="auto" w:sz="4" w:space="0"/>
              <w:right w:val="single" w:color="auto" w:sz="4" w:space="0"/>
            </w:tcBorders>
            <w:vAlign w:val="top"/>
          </w:tcPr>
          <w:p w14:paraId="09EF60EC">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vAlign w:val="top"/>
          </w:tcPr>
          <w:p w14:paraId="6D8CFD43">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top"/>
          </w:tcPr>
          <w:p w14:paraId="7EAE783E">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1CD9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5B9C0C97">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3203" w:type="dxa"/>
            <w:tcBorders>
              <w:top w:val="single" w:color="auto" w:sz="4" w:space="0"/>
              <w:left w:val="single" w:color="auto" w:sz="4" w:space="0"/>
              <w:bottom w:val="single" w:color="auto" w:sz="4" w:space="0"/>
              <w:right w:val="single" w:color="auto" w:sz="4" w:space="0"/>
            </w:tcBorders>
            <w:vAlign w:val="top"/>
          </w:tcPr>
          <w:p w14:paraId="6B598927">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155" w:type="dxa"/>
            <w:tcBorders>
              <w:top w:val="single" w:color="auto" w:sz="4" w:space="0"/>
              <w:left w:val="single" w:color="auto" w:sz="4" w:space="0"/>
              <w:bottom w:val="single" w:color="auto" w:sz="4" w:space="0"/>
              <w:right w:val="single" w:color="auto" w:sz="4" w:space="0"/>
            </w:tcBorders>
            <w:vAlign w:val="top"/>
          </w:tcPr>
          <w:p w14:paraId="5CBB37C4">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vAlign w:val="top"/>
          </w:tcPr>
          <w:p w14:paraId="1882ECFB">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top"/>
          </w:tcPr>
          <w:p w14:paraId="7266DAF9">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7761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0609D650">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3203" w:type="dxa"/>
            <w:tcBorders>
              <w:top w:val="single" w:color="auto" w:sz="4" w:space="0"/>
              <w:left w:val="single" w:color="auto" w:sz="4" w:space="0"/>
              <w:bottom w:val="single" w:color="auto" w:sz="4" w:space="0"/>
              <w:right w:val="single" w:color="auto" w:sz="4" w:space="0"/>
            </w:tcBorders>
            <w:vAlign w:val="top"/>
          </w:tcPr>
          <w:p w14:paraId="05244699">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155" w:type="dxa"/>
            <w:tcBorders>
              <w:top w:val="single" w:color="auto" w:sz="4" w:space="0"/>
              <w:left w:val="single" w:color="auto" w:sz="4" w:space="0"/>
              <w:bottom w:val="single" w:color="auto" w:sz="4" w:space="0"/>
              <w:right w:val="single" w:color="auto" w:sz="4" w:space="0"/>
            </w:tcBorders>
            <w:vAlign w:val="top"/>
          </w:tcPr>
          <w:p w14:paraId="65E0DEB9">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vAlign w:val="top"/>
          </w:tcPr>
          <w:p w14:paraId="1303D624">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top"/>
          </w:tcPr>
          <w:p w14:paraId="299AB2BE">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49C3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2FB73705">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3203" w:type="dxa"/>
            <w:tcBorders>
              <w:top w:val="single" w:color="auto" w:sz="4" w:space="0"/>
              <w:left w:val="single" w:color="auto" w:sz="4" w:space="0"/>
              <w:bottom w:val="single" w:color="auto" w:sz="4" w:space="0"/>
              <w:right w:val="single" w:color="auto" w:sz="4" w:space="0"/>
            </w:tcBorders>
            <w:vAlign w:val="top"/>
          </w:tcPr>
          <w:p w14:paraId="57E95A23">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155" w:type="dxa"/>
            <w:tcBorders>
              <w:top w:val="single" w:color="auto" w:sz="4" w:space="0"/>
              <w:left w:val="single" w:color="auto" w:sz="4" w:space="0"/>
              <w:bottom w:val="single" w:color="auto" w:sz="4" w:space="0"/>
              <w:right w:val="single" w:color="auto" w:sz="4" w:space="0"/>
            </w:tcBorders>
            <w:vAlign w:val="top"/>
          </w:tcPr>
          <w:p w14:paraId="5F8DFC9C">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vAlign w:val="top"/>
          </w:tcPr>
          <w:p w14:paraId="35A83D26">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top"/>
          </w:tcPr>
          <w:p w14:paraId="6BA679EF">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3EB5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7A735D74">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3203" w:type="dxa"/>
            <w:tcBorders>
              <w:top w:val="single" w:color="auto" w:sz="4" w:space="0"/>
              <w:left w:val="single" w:color="auto" w:sz="4" w:space="0"/>
              <w:bottom w:val="single" w:color="auto" w:sz="4" w:space="0"/>
              <w:right w:val="single" w:color="auto" w:sz="4" w:space="0"/>
            </w:tcBorders>
            <w:vAlign w:val="top"/>
          </w:tcPr>
          <w:p w14:paraId="4C9DE4D3">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155" w:type="dxa"/>
            <w:tcBorders>
              <w:top w:val="single" w:color="auto" w:sz="4" w:space="0"/>
              <w:left w:val="single" w:color="auto" w:sz="4" w:space="0"/>
              <w:bottom w:val="single" w:color="auto" w:sz="4" w:space="0"/>
              <w:right w:val="single" w:color="auto" w:sz="4" w:space="0"/>
            </w:tcBorders>
            <w:vAlign w:val="top"/>
          </w:tcPr>
          <w:p w14:paraId="44030960">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vAlign w:val="top"/>
          </w:tcPr>
          <w:p w14:paraId="62763F04">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top"/>
          </w:tcPr>
          <w:p w14:paraId="640A5DD0">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5C8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51B08741">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3203" w:type="dxa"/>
            <w:tcBorders>
              <w:top w:val="single" w:color="auto" w:sz="4" w:space="0"/>
              <w:left w:val="single" w:color="auto" w:sz="4" w:space="0"/>
              <w:bottom w:val="single" w:color="auto" w:sz="4" w:space="0"/>
              <w:right w:val="single" w:color="auto" w:sz="4" w:space="0"/>
            </w:tcBorders>
            <w:vAlign w:val="top"/>
          </w:tcPr>
          <w:p w14:paraId="5F7C82DB">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155" w:type="dxa"/>
            <w:tcBorders>
              <w:top w:val="single" w:color="auto" w:sz="4" w:space="0"/>
              <w:left w:val="single" w:color="auto" w:sz="4" w:space="0"/>
              <w:bottom w:val="single" w:color="auto" w:sz="4" w:space="0"/>
              <w:right w:val="single" w:color="auto" w:sz="4" w:space="0"/>
            </w:tcBorders>
            <w:vAlign w:val="top"/>
          </w:tcPr>
          <w:p w14:paraId="685C8FE9">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vAlign w:val="top"/>
          </w:tcPr>
          <w:p w14:paraId="4425AFCA">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top"/>
          </w:tcPr>
          <w:p w14:paraId="2C7DB6BE">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5AFE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1F169944">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3203" w:type="dxa"/>
            <w:tcBorders>
              <w:top w:val="single" w:color="auto" w:sz="4" w:space="0"/>
              <w:left w:val="single" w:color="auto" w:sz="4" w:space="0"/>
              <w:bottom w:val="single" w:color="auto" w:sz="4" w:space="0"/>
              <w:right w:val="single" w:color="auto" w:sz="4" w:space="0"/>
            </w:tcBorders>
            <w:vAlign w:val="top"/>
          </w:tcPr>
          <w:p w14:paraId="35B9D364">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155" w:type="dxa"/>
            <w:tcBorders>
              <w:top w:val="single" w:color="auto" w:sz="4" w:space="0"/>
              <w:left w:val="single" w:color="auto" w:sz="4" w:space="0"/>
              <w:bottom w:val="single" w:color="auto" w:sz="4" w:space="0"/>
              <w:right w:val="single" w:color="auto" w:sz="4" w:space="0"/>
            </w:tcBorders>
            <w:vAlign w:val="top"/>
          </w:tcPr>
          <w:p w14:paraId="2FEB95E1">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vAlign w:val="top"/>
          </w:tcPr>
          <w:p w14:paraId="634DA551">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top"/>
          </w:tcPr>
          <w:p w14:paraId="37B2192F">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64EF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3C81B267">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3203" w:type="dxa"/>
            <w:tcBorders>
              <w:top w:val="single" w:color="auto" w:sz="4" w:space="0"/>
              <w:left w:val="single" w:color="auto" w:sz="4" w:space="0"/>
              <w:bottom w:val="single" w:color="auto" w:sz="4" w:space="0"/>
              <w:right w:val="single" w:color="auto" w:sz="4" w:space="0"/>
            </w:tcBorders>
            <w:vAlign w:val="top"/>
          </w:tcPr>
          <w:p w14:paraId="38F71A5C">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b/>
                <w:color w:val="auto"/>
                <w:sz w:val="24"/>
                <w:highlight w:val="none"/>
              </w:rPr>
            </w:pPr>
          </w:p>
        </w:tc>
        <w:tc>
          <w:tcPr>
            <w:tcW w:w="2155" w:type="dxa"/>
            <w:tcBorders>
              <w:top w:val="single" w:color="auto" w:sz="4" w:space="0"/>
              <w:left w:val="single" w:color="auto" w:sz="4" w:space="0"/>
              <w:bottom w:val="single" w:color="auto" w:sz="4" w:space="0"/>
              <w:right w:val="single" w:color="auto" w:sz="4" w:space="0"/>
            </w:tcBorders>
            <w:vAlign w:val="top"/>
          </w:tcPr>
          <w:p w14:paraId="4EFA3A8B">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vAlign w:val="top"/>
          </w:tcPr>
          <w:p w14:paraId="60B0FA6F">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top"/>
          </w:tcPr>
          <w:p w14:paraId="6FB4AD7E">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bl>
    <w:p w14:paraId="70F2BE02">
      <w:pPr>
        <w:wordWrap w:val="0"/>
        <w:adjustRightInd w:val="0"/>
        <w:snapToGrid w:val="0"/>
        <w:spacing w:line="360" w:lineRule="auto"/>
        <w:ind w:right="376" w:rightChars="179"/>
        <w:rPr>
          <w:rFonts w:hint="eastAsia" w:ascii="仿宋" w:hAnsi="仿宋" w:eastAsia="仿宋" w:cs="仿宋"/>
          <w:b/>
          <w:color w:val="auto"/>
          <w:sz w:val="28"/>
          <w:szCs w:val="28"/>
          <w:highlight w:val="none"/>
          <w:u w:val="single"/>
        </w:rPr>
      </w:pPr>
      <w:r>
        <w:rPr>
          <w:rFonts w:hint="eastAsia" w:ascii="仿宋" w:hAnsi="仿宋" w:eastAsia="仿宋" w:cs="仿宋"/>
          <w:b/>
          <w:color w:val="auto"/>
          <w:sz w:val="24"/>
          <w:highlight w:val="none"/>
        </w:rPr>
        <w:t>注：上表中所引用的顺序和编号应与</w:t>
      </w:r>
      <w:r>
        <w:rPr>
          <w:rFonts w:hint="eastAsia" w:ascii="仿宋" w:hAnsi="仿宋" w:eastAsia="仿宋" w:cs="仿宋"/>
          <w:b/>
          <w:color w:val="auto"/>
          <w:sz w:val="24"/>
          <w:highlight w:val="none"/>
          <w:lang w:eastAsia="zh-CN"/>
        </w:rPr>
        <w:t>采购文件</w:t>
      </w:r>
      <w:r>
        <w:rPr>
          <w:rFonts w:hint="eastAsia" w:ascii="仿宋" w:hAnsi="仿宋" w:eastAsia="仿宋" w:cs="仿宋"/>
          <w:b/>
          <w:color w:val="auto"/>
          <w:sz w:val="24"/>
          <w:highlight w:val="none"/>
        </w:rPr>
        <w:t>“第二部分　</w:t>
      </w:r>
      <w:r>
        <w:rPr>
          <w:rFonts w:hint="eastAsia" w:ascii="仿宋" w:hAnsi="仿宋" w:eastAsia="仿宋" w:cs="仿宋"/>
          <w:b/>
          <w:color w:val="auto"/>
          <w:sz w:val="24"/>
          <w:highlight w:val="none"/>
          <w:lang w:eastAsia="zh-CN"/>
        </w:rPr>
        <w:t>采购项目内容</w:t>
      </w:r>
      <w:r>
        <w:rPr>
          <w:rFonts w:hint="eastAsia" w:ascii="仿宋" w:hAnsi="仿宋" w:eastAsia="仿宋" w:cs="仿宋"/>
          <w:b/>
          <w:color w:val="auto"/>
          <w:sz w:val="24"/>
          <w:highlight w:val="none"/>
        </w:rPr>
        <w:t>”的“三、</w:t>
      </w:r>
      <w:r>
        <w:rPr>
          <w:rFonts w:hint="eastAsia" w:ascii="仿宋" w:hAnsi="仿宋" w:eastAsia="仿宋" w:cs="仿宋"/>
          <w:b/>
          <w:color w:val="auto"/>
          <w:sz w:val="24"/>
          <w:highlight w:val="none"/>
          <w:lang w:eastAsia="zh-CN"/>
        </w:rPr>
        <w:t>采购项目服务要求</w:t>
      </w:r>
      <w:r>
        <w:rPr>
          <w:rFonts w:hint="eastAsia" w:ascii="仿宋" w:hAnsi="仿宋" w:eastAsia="仿宋" w:cs="仿宋"/>
          <w:b/>
          <w:color w:val="auto"/>
          <w:sz w:val="24"/>
          <w:highlight w:val="none"/>
        </w:rPr>
        <w:t>”的要求相一致。</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在具体的</w:t>
      </w:r>
      <w:r>
        <w:rPr>
          <w:rFonts w:hint="eastAsia" w:ascii="仿宋" w:hAnsi="仿宋" w:eastAsia="仿宋" w:cs="仿宋"/>
          <w:b/>
          <w:color w:val="auto"/>
          <w:sz w:val="24"/>
          <w:highlight w:val="none"/>
          <w:lang w:eastAsia="zh-CN"/>
        </w:rPr>
        <w:t>投标内容</w:t>
      </w:r>
      <w:r>
        <w:rPr>
          <w:rFonts w:hint="eastAsia" w:ascii="仿宋" w:hAnsi="仿宋" w:eastAsia="仿宋" w:cs="仿宋"/>
          <w:b/>
          <w:color w:val="auto"/>
          <w:sz w:val="24"/>
          <w:highlight w:val="none"/>
        </w:rPr>
        <w:t>中应</w:t>
      </w:r>
      <w:r>
        <w:rPr>
          <w:rFonts w:hint="eastAsia" w:ascii="仿宋" w:hAnsi="仿宋" w:eastAsia="仿宋" w:cs="仿宋"/>
          <w:b/>
          <w:color w:val="auto"/>
          <w:sz w:val="32"/>
          <w:szCs w:val="32"/>
          <w:highlight w:val="none"/>
          <w:u w:val="single"/>
        </w:rPr>
        <w:t>逐条</w:t>
      </w:r>
      <w:r>
        <w:rPr>
          <w:rFonts w:hint="eastAsia" w:ascii="仿宋" w:hAnsi="仿宋" w:eastAsia="仿宋" w:cs="仿宋"/>
          <w:b/>
          <w:color w:val="auto"/>
          <w:sz w:val="24"/>
          <w:highlight w:val="none"/>
        </w:rPr>
        <w:t>进行响应，可以增加说明或描述性文字。如</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完全响应，在“是否响应”栏内填“是”，如</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提供的条款优于</w:t>
      </w:r>
      <w:r>
        <w:rPr>
          <w:rFonts w:hint="eastAsia" w:ascii="仿宋" w:hAnsi="仿宋" w:eastAsia="仿宋" w:cs="仿宋"/>
          <w:b/>
          <w:color w:val="auto"/>
          <w:sz w:val="24"/>
          <w:highlight w:val="none"/>
          <w:lang w:eastAsia="zh-CN"/>
        </w:rPr>
        <w:t>采购要求</w:t>
      </w:r>
      <w:r>
        <w:rPr>
          <w:rFonts w:hint="eastAsia" w:ascii="仿宋" w:hAnsi="仿宋" w:eastAsia="仿宋" w:cs="仿宋"/>
          <w:b/>
          <w:color w:val="auto"/>
          <w:sz w:val="24"/>
          <w:highlight w:val="none"/>
        </w:rPr>
        <w:t>，则填写“正偏离”，如</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提供的条款低于</w:t>
      </w:r>
      <w:r>
        <w:rPr>
          <w:rFonts w:hint="eastAsia" w:ascii="仿宋" w:hAnsi="仿宋" w:eastAsia="仿宋" w:cs="仿宋"/>
          <w:b/>
          <w:color w:val="auto"/>
          <w:sz w:val="24"/>
          <w:highlight w:val="none"/>
          <w:lang w:eastAsia="zh-CN"/>
        </w:rPr>
        <w:t>采购要求</w:t>
      </w:r>
      <w:r>
        <w:rPr>
          <w:rFonts w:hint="eastAsia" w:ascii="仿宋" w:hAnsi="仿宋" w:eastAsia="仿宋" w:cs="仿宋"/>
          <w:b/>
          <w:color w:val="auto"/>
          <w:sz w:val="24"/>
          <w:highlight w:val="none"/>
        </w:rPr>
        <w:t>，则填写“负偏离”。</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如没有对</w:t>
      </w:r>
      <w:r>
        <w:rPr>
          <w:rFonts w:hint="eastAsia" w:ascii="仿宋" w:hAnsi="仿宋" w:eastAsia="仿宋" w:cs="仿宋"/>
          <w:b/>
          <w:color w:val="auto"/>
          <w:sz w:val="24"/>
          <w:highlight w:val="none"/>
          <w:lang w:eastAsia="zh-CN"/>
        </w:rPr>
        <w:t>采购文件</w:t>
      </w:r>
      <w:r>
        <w:rPr>
          <w:rFonts w:hint="eastAsia" w:ascii="仿宋" w:hAnsi="仿宋" w:eastAsia="仿宋" w:cs="仿宋"/>
          <w:b/>
          <w:color w:val="auto"/>
          <w:sz w:val="24"/>
          <w:highlight w:val="none"/>
        </w:rPr>
        <w:t>条款的响应情况进行填写即为不响应该</w:t>
      </w:r>
      <w:r>
        <w:rPr>
          <w:rFonts w:hint="eastAsia" w:ascii="仿宋" w:hAnsi="仿宋" w:eastAsia="仿宋" w:cs="仿宋"/>
          <w:b/>
          <w:color w:val="auto"/>
          <w:sz w:val="24"/>
          <w:highlight w:val="none"/>
          <w:lang w:eastAsia="zh-CN"/>
        </w:rPr>
        <w:t>采购文件</w:t>
      </w:r>
      <w:r>
        <w:rPr>
          <w:rFonts w:hint="eastAsia" w:ascii="仿宋" w:hAnsi="仿宋" w:eastAsia="仿宋" w:cs="仿宋"/>
          <w:b/>
          <w:color w:val="auto"/>
          <w:sz w:val="24"/>
          <w:highlight w:val="none"/>
        </w:rPr>
        <w:t>条款。</w:t>
      </w:r>
      <w:r>
        <w:rPr>
          <w:rFonts w:hint="eastAsia" w:ascii="仿宋" w:hAnsi="仿宋" w:eastAsia="仿宋" w:cs="仿宋"/>
          <w:b/>
          <w:color w:val="auto"/>
          <w:sz w:val="24"/>
          <w:highlight w:val="none"/>
          <w:lang w:eastAsia="zh-CN"/>
        </w:rPr>
        <w:t>投标文件</w:t>
      </w:r>
      <w:r>
        <w:rPr>
          <w:rFonts w:hint="eastAsia" w:ascii="仿宋" w:hAnsi="仿宋" w:eastAsia="仿宋" w:cs="仿宋"/>
          <w:b/>
          <w:color w:val="auto"/>
          <w:sz w:val="24"/>
          <w:highlight w:val="none"/>
        </w:rPr>
        <w:t>与</w:t>
      </w:r>
      <w:r>
        <w:rPr>
          <w:rFonts w:hint="eastAsia" w:ascii="仿宋" w:hAnsi="仿宋" w:eastAsia="仿宋" w:cs="仿宋"/>
          <w:b/>
          <w:color w:val="auto"/>
          <w:sz w:val="24"/>
          <w:highlight w:val="none"/>
          <w:lang w:eastAsia="zh-CN"/>
        </w:rPr>
        <w:t>采购文件</w:t>
      </w:r>
      <w:r>
        <w:rPr>
          <w:rFonts w:hint="eastAsia" w:ascii="仿宋" w:hAnsi="仿宋" w:eastAsia="仿宋" w:cs="仿宋"/>
          <w:b/>
          <w:color w:val="auto"/>
          <w:sz w:val="24"/>
          <w:highlight w:val="none"/>
        </w:rPr>
        <w:t>的任何差异之处，均应按本表格式在“差异说明”栏中逐一说明，优于</w:t>
      </w:r>
      <w:r>
        <w:rPr>
          <w:rFonts w:hint="eastAsia" w:ascii="仿宋" w:hAnsi="仿宋" w:eastAsia="仿宋" w:cs="仿宋"/>
          <w:b/>
          <w:color w:val="auto"/>
          <w:sz w:val="24"/>
          <w:highlight w:val="none"/>
          <w:lang w:eastAsia="zh-CN"/>
        </w:rPr>
        <w:t>采购要求</w:t>
      </w:r>
      <w:r>
        <w:rPr>
          <w:rFonts w:hint="eastAsia" w:ascii="仿宋" w:hAnsi="仿宋" w:eastAsia="仿宋" w:cs="仿宋"/>
          <w:b/>
          <w:color w:val="auto"/>
          <w:sz w:val="24"/>
          <w:highlight w:val="none"/>
        </w:rPr>
        <w:t>的，可提供相关证明资料。</w:t>
      </w:r>
      <w:r>
        <w:rPr>
          <w:rFonts w:hint="eastAsia" w:ascii="仿宋" w:hAnsi="仿宋" w:eastAsia="仿宋" w:cs="仿宋"/>
          <w:b/>
          <w:color w:val="auto"/>
          <w:sz w:val="28"/>
          <w:szCs w:val="28"/>
          <w:highlight w:val="none"/>
          <w:u w:val="single"/>
        </w:rPr>
        <w:t>实质性条款如不响应或负偏离的，将导致</w:t>
      </w:r>
      <w:r>
        <w:rPr>
          <w:rFonts w:hint="eastAsia" w:ascii="仿宋" w:hAnsi="仿宋" w:eastAsia="仿宋" w:cs="仿宋"/>
          <w:b/>
          <w:color w:val="auto"/>
          <w:sz w:val="28"/>
          <w:szCs w:val="28"/>
          <w:highlight w:val="none"/>
          <w:u w:val="single"/>
          <w:lang w:eastAsia="zh-CN"/>
        </w:rPr>
        <w:t>投标</w:t>
      </w:r>
      <w:r>
        <w:rPr>
          <w:rFonts w:hint="eastAsia" w:ascii="仿宋" w:hAnsi="仿宋" w:eastAsia="仿宋" w:cs="仿宋"/>
          <w:b/>
          <w:color w:val="auto"/>
          <w:sz w:val="28"/>
          <w:szCs w:val="28"/>
          <w:highlight w:val="none"/>
          <w:u w:val="single"/>
        </w:rPr>
        <w:t>无效。</w:t>
      </w:r>
    </w:p>
    <w:p w14:paraId="1E467067">
      <w:pPr>
        <w:wordWrap w:val="0"/>
        <w:adjustRightInd w:val="0"/>
        <w:snapToGrid w:val="0"/>
        <w:rPr>
          <w:rFonts w:hint="eastAsia" w:ascii="仿宋" w:hAnsi="仿宋" w:eastAsia="仿宋" w:cs="仿宋"/>
          <w:color w:val="auto"/>
          <w:highlight w:val="none"/>
        </w:rPr>
      </w:pPr>
    </w:p>
    <w:p w14:paraId="36B1B082">
      <w:pPr>
        <w:wordWrap w:val="0"/>
        <w:adjustRightInd w:val="0"/>
        <w:snapToGrid w:val="0"/>
        <w:spacing w:line="360" w:lineRule="auto"/>
        <w:rPr>
          <w:rFonts w:hint="eastAsia" w:ascii="仿宋" w:hAnsi="仿宋" w:eastAsia="仿宋" w:cs="仿宋"/>
          <w:b/>
          <w:color w:val="auto"/>
          <w:sz w:val="23"/>
          <w:szCs w:val="21"/>
          <w:highlight w:val="none"/>
        </w:rPr>
      </w:pPr>
    </w:p>
    <w:p w14:paraId="6F801E45">
      <w:pPr>
        <w:wordWrap w:val="0"/>
        <w:adjustRightInd w:val="0"/>
        <w:snapToGrid w:val="0"/>
        <w:spacing w:line="360" w:lineRule="auto"/>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lang w:eastAsia="zh-CN"/>
        </w:rPr>
        <w:t>投标人</w:t>
      </w:r>
      <w:r>
        <w:rPr>
          <w:rFonts w:hint="eastAsia" w:ascii="仿宋" w:hAnsi="仿宋" w:eastAsia="仿宋" w:cs="仿宋"/>
          <w:color w:val="auto"/>
          <w:sz w:val="22"/>
          <w:szCs w:val="28"/>
          <w:highlight w:val="none"/>
        </w:rPr>
        <w:t>法定代表人/负责人（或法定代表人/负责人授权代表）签字：</w:t>
      </w:r>
      <w:r>
        <w:rPr>
          <w:rFonts w:hint="eastAsia" w:ascii="仿宋" w:hAnsi="仿宋" w:eastAsia="仿宋" w:cs="仿宋"/>
          <w:color w:val="auto"/>
          <w:sz w:val="22"/>
          <w:szCs w:val="28"/>
          <w:highlight w:val="none"/>
          <w:u w:val="single"/>
        </w:rPr>
        <w:t xml:space="preserve">              </w:t>
      </w:r>
    </w:p>
    <w:p w14:paraId="7A99A621">
      <w:pPr>
        <w:wordWrap w:val="0"/>
        <w:adjustRightInd w:val="0"/>
        <w:snapToGrid w:val="0"/>
        <w:spacing w:line="360" w:lineRule="auto"/>
        <w:rPr>
          <w:rFonts w:hint="eastAsia" w:ascii="仿宋" w:hAnsi="仿宋" w:eastAsia="仿宋" w:cs="仿宋"/>
          <w:color w:val="auto"/>
          <w:sz w:val="22"/>
          <w:szCs w:val="28"/>
          <w:highlight w:val="none"/>
          <w:u w:val="single"/>
        </w:rPr>
      </w:pPr>
      <w:r>
        <w:rPr>
          <w:rFonts w:hint="eastAsia" w:ascii="仿宋" w:hAnsi="仿宋" w:eastAsia="仿宋" w:cs="仿宋"/>
          <w:color w:val="auto"/>
          <w:sz w:val="22"/>
          <w:szCs w:val="28"/>
          <w:highlight w:val="none"/>
          <w:lang w:eastAsia="zh-CN"/>
        </w:rPr>
        <w:t>投标人</w:t>
      </w:r>
      <w:r>
        <w:rPr>
          <w:rFonts w:hint="eastAsia" w:ascii="仿宋" w:hAnsi="仿宋" w:eastAsia="仿宋" w:cs="仿宋"/>
          <w:color w:val="auto"/>
          <w:sz w:val="22"/>
          <w:szCs w:val="28"/>
          <w:highlight w:val="none"/>
        </w:rPr>
        <w:t>名称(加盖公章) ：</w:t>
      </w:r>
      <w:r>
        <w:rPr>
          <w:rFonts w:hint="eastAsia" w:ascii="仿宋" w:hAnsi="仿宋" w:eastAsia="仿宋" w:cs="仿宋"/>
          <w:color w:val="auto"/>
          <w:sz w:val="22"/>
          <w:szCs w:val="28"/>
          <w:highlight w:val="none"/>
          <w:u w:val="single"/>
        </w:rPr>
        <w:t xml:space="preserve">      </w:t>
      </w:r>
    </w:p>
    <w:p w14:paraId="4F854050">
      <w:pPr>
        <w:wordWrap w:val="0"/>
        <w:adjustRightInd w:val="0"/>
        <w:snapToGrid w:val="0"/>
        <w:spacing w:line="360" w:lineRule="auto"/>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日期：   年   月   日</w:t>
      </w:r>
    </w:p>
    <w:p w14:paraId="1916DFD9">
      <w:pPr>
        <w:wordWrap w:val="0"/>
        <w:adjustRightInd w:val="0"/>
        <w:snapToGrid w:val="0"/>
        <w:rPr>
          <w:rFonts w:hint="eastAsia" w:ascii="仿宋" w:hAnsi="仿宋" w:eastAsia="仿宋" w:cs="仿宋"/>
          <w:color w:val="auto"/>
          <w:highlight w:val="none"/>
        </w:rPr>
      </w:pPr>
    </w:p>
    <w:p w14:paraId="4F3B635B">
      <w:pPr>
        <w:tabs>
          <w:tab w:val="left" w:pos="540"/>
        </w:tabs>
        <w:wordWrap w:val="0"/>
        <w:adjustRightInd w:val="0"/>
        <w:snapToGrid w:val="0"/>
        <w:spacing w:line="360" w:lineRule="auto"/>
        <w:ind w:left="138"/>
        <w:rPr>
          <w:rFonts w:hint="eastAsia" w:ascii="仿宋" w:hAnsi="仿宋" w:eastAsia="仿宋" w:cs="仿宋"/>
          <w:color w:val="auto"/>
          <w:sz w:val="22"/>
          <w:szCs w:val="18"/>
          <w:highlight w:val="none"/>
        </w:rPr>
      </w:pPr>
    </w:p>
    <w:p w14:paraId="6A15EAAB">
      <w:pPr>
        <w:tabs>
          <w:tab w:val="left" w:pos="540"/>
        </w:tabs>
        <w:spacing w:line="360" w:lineRule="auto"/>
        <w:ind w:left="138"/>
        <w:jc w:val="center"/>
        <w:rPr>
          <w:rFonts w:hint="eastAsia" w:ascii="仿宋" w:hAnsi="仿宋" w:eastAsia="仿宋" w:cs="仿宋_GB2312"/>
          <w:b/>
          <w:color w:val="auto"/>
          <w:sz w:val="28"/>
          <w:szCs w:val="28"/>
          <w:highlight w:val="none"/>
          <w:lang w:val="en-US" w:eastAsia="zh-CN"/>
        </w:rPr>
      </w:pPr>
      <w:r>
        <w:rPr>
          <w:rFonts w:ascii="仿宋" w:hAnsi="仿宋" w:eastAsia="仿宋" w:cs="仿宋"/>
          <w:b/>
          <w:color w:val="auto"/>
          <w:sz w:val="28"/>
          <w:szCs w:val="28"/>
          <w:highlight w:val="none"/>
        </w:rPr>
        <w:br w:type="page"/>
      </w:r>
      <w:bookmarkStart w:id="86" w:name="OLE_LINK13"/>
      <w:r>
        <w:rPr>
          <w:rFonts w:hint="eastAsia" w:ascii="仿宋" w:hAnsi="仿宋" w:eastAsia="仿宋" w:cs="仿宋_GB2312"/>
          <w:b/>
          <w:color w:val="auto"/>
          <w:sz w:val="28"/>
          <w:szCs w:val="28"/>
          <w:highlight w:val="none"/>
        </w:rPr>
        <w:t>同类项目业绩</w:t>
      </w:r>
      <w:bookmarkEnd w:id="86"/>
      <w:r>
        <w:rPr>
          <w:rFonts w:hint="eastAsia" w:ascii="仿宋" w:hAnsi="仿宋" w:eastAsia="仿宋" w:cs="仿宋_GB2312"/>
          <w:b/>
          <w:color w:val="auto"/>
          <w:sz w:val="28"/>
          <w:szCs w:val="28"/>
          <w:highlight w:val="none"/>
          <w:lang w:val="en-US" w:eastAsia="zh-CN"/>
        </w:rPr>
        <w:t>情况</w:t>
      </w:r>
    </w:p>
    <w:p w14:paraId="3E69CC9A">
      <w:pPr>
        <w:pStyle w:val="9"/>
        <w:rPr>
          <w:rFonts w:hint="eastAsia"/>
          <w:color w:val="auto"/>
          <w:highlight w:val="none"/>
          <w:lang w:val="en-US" w:eastAsia="zh-CN"/>
        </w:rPr>
      </w:pPr>
    </w:p>
    <w:p w14:paraId="1B1F1493">
      <w:pPr>
        <w:tabs>
          <w:tab w:val="left" w:pos="540"/>
        </w:tabs>
        <w:spacing w:line="360" w:lineRule="auto"/>
        <w:jc w:val="center"/>
        <w:outlineLvl w:val="0"/>
        <w:rPr>
          <w:rFonts w:ascii="仿宋" w:hAnsi="仿宋" w:eastAsia="仿宋" w:cs="仿宋_GB2312"/>
          <w:b/>
          <w:color w:val="auto"/>
          <w:sz w:val="28"/>
          <w:szCs w:val="28"/>
          <w:highlight w:val="none"/>
        </w:rPr>
      </w:pPr>
      <w:bookmarkStart w:id="87" w:name="_Toc11147"/>
      <w:bookmarkStart w:id="88" w:name="_Toc447"/>
      <w:bookmarkStart w:id="89" w:name="_Toc5558"/>
      <w:r>
        <w:rPr>
          <w:rFonts w:hint="eastAsia" w:ascii="仿宋" w:hAnsi="仿宋" w:eastAsia="仿宋" w:cs="仿宋_GB2312"/>
          <w:b/>
          <w:color w:val="auto"/>
          <w:sz w:val="28"/>
          <w:szCs w:val="28"/>
          <w:highlight w:val="none"/>
        </w:rPr>
        <w:t>业绩汇总表</w:t>
      </w:r>
      <w:bookmarkEnd w:id="87"/>
      <w:bookmarkEnd w:id="88"/>
      <w:bookmarkEnd w:id="89"/>
    </w:p>
    <w:tbl>
      <w:tblPr>
        <w:tblStyle w:val="23"/>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66"/>
        <w:gridCol w:w="2077"/>
        <w:gridCol w:w="1785"/>
        <w:gridCol w:w="1599"/>
        <w:gridCol w:w="1225"/>
      </w:tblGrid>
      <w:tr w14:paraId="0D91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F3F3F3"/>
            <w:vAlign w:val="center"/>
          </w:tcPr>
          <w:p w14:paraId="431E5C25">
            <w:pPr>
              <w:keepNext w:val="0"/>
              <w:keepLines w:val="0"/>
              <w:suppressLineNumbers w:val="0"/>
              <w:spacing w:before="0" w:beforeAutospacing="0" w:after="0" w:afterAutospacing="0"/>
              <w:ind w:left="0" w:right="0"/>
              <w:jc w:val="center"/>
              <w:rPr>
                <w:rFonts w:hint="default" w:ascii="仿宋" w:hAnsi="仿宋" w:eastAsia="仿宋" w:cs="仿宋_GB2312"/>
                <w:b/>
                <w:bCs/>
                <w:color w:val="auto"/>
                <w:sz w:val="23"/>
                <w:szCs w:val="21"/>
                <w:highlight w:val="none"/>
              </w:rPr>
            </w:pPr>
            <w:r>
              <w:rPr>
                <w:rFonts w:hint="eastAsia" w:ascii="仿宋" w:hAnsi="仿宋" w:eastAsia="仿宋" w:cs="仿宋_GB2312"/>
                <w:b/>
                <w:bCs/>
                <w:color w:val="auto"/>
                <w:sz w:val="23"/>
                <w:szCs w:val="21"/>
                <w:highlight w:val="none"/>
              </w:rPr>
              <w:t>序号</w:t>
            </w:r>
          </w:p>
        </w:tc>
        <w:tc>
          <w:tcPr>
            <w:tcW w:w="1766" w:type="dxa"/>
            <w:tcBorders>
              <w:top w:val="single" w:color="auto" w:sz="4" w:space="0"/>
              <w:left w:val="single" w:color="auto" w:sz="4" w:space="0"/>
              <w:bottom w:val="single" w:color="auto" w:sz="4" w:space="0"/>
              <w:right w:val="single" w:color="auto" w:sz="4" w:space="0"/>
            </w:tcBorders>
            <w:shd w:val="clear" w:color="auto" w:fill="F3F3F3"/>
            <w:vAlign w:val="center"/>
          </w:tcPr>
          <w:p w14:paraId="7F312DBF">
            <w:pPr>
              <w:keepNext w:val="0"/>
              <w:keepLines w:val="0"/>
              <w:suppressLineNumbers w:val="0"/>
              <w:spacing w:before="0" w:beforeAutospacing="0" w:after="0" w:afterAutospacing="0"/>
              <w:ind w:left="0" w:right="0"/>
              <w:jc w:val="center"/>
              <w:rPr>
                <w:rFonts w:hint="default" w:ascii="仿宋" w:hAnsi="仿宋" w:eastAsia="仿宋" w:cs="仿宋_GB2312"/>
                <w:b/>
                <w:bCs/>
                <w:color w:val="auto"/>
                <w:sz w:val="23"/>
                <w:szCs w:val="21"/>
                <w:highlight w:val="none"/>
              </w:rPr>
            </w:pPr>
            <w:r>
              <w:rPr>
                <w:rFonts w:hint="eastAsia" w:ascii="仿宋" w:hAnsi="仿宋" w:eastAsia="仿宋" w:cs="仿宋_GB2312"/>
                <w:b/>
                <w:bCs/>
                <w:color w:val="auto"/>
                <w:sz w:val="23"/>
                <w:szCs w:val="21"/>
                <w:highlight w:val="none"/>
              </w:rPr>
              <w:t>客户名称</w:t>
            </w:r>
          </w:p>
        </w:tc>
        <w:tc>
          <w:tcPr>
            <w:tcW w:w="2077" w:type="dxa"/>
            <w:tcBorders>
              <w:top w:val="single" w:color="auto" w:sz="4" w:space="0"/>
              <w:left w:val="single" w:color="auto" w:sz="4" w:space="0"/>
              <w:bottom w:val="single" w:color="auto" w:sz="4" w:space="0"/>
              <w:right w:val="single" w:color="auto" w:sz="4" w:space="0"/>
            </w:tcBorders>
            <w:shd w:val="clear" w:color="auto" w:fill="F3F3F3"/>
            <w:vAlign w:val="center"/>
          </w:tcPr>
          <w:p w14:paraId="09E9E68E">
            <w:pPr>
              <w:keepNext w:val="0"/>
              <w:keepLines w:val="0"/>
              <w:suppressLineNumbers w:val="0"/>
              <w:spacing w:before="0" w:beforeAutospacing="0" w:after="0" w:afterAutospacing="0"/>
              <w:ind w:left="0" w:right="0"/>
              <w:jc w:val="center"/>
              <w:rPr>
                <w:rFonts w:hint="default" w:ascii="仿宋" w:hAnsi="仿宋" w:eastAsia="仿宋" w:cs="仿宋_GB2312"/>
                <w:b/>
                <w:bCs/>
                <w:color w:val="auto"/>
                <w:sz w:val="23"/>
                <w:szCs w:val="21"/>
                <w:highlight w:val="none"/>
              </w:rPr>
            </w:pPr>
            <w:r>
              <w:rPr>
                <w:rFonts w:hint="eastAsia" w:ascii="仿宋" w:hAnsi="仿宋" w:eastAsia="仿宋" w:cs="仿宋_GB2312"/>
                <w:b/>
                <w:bCs/>
                <w:color w:val="auto"/>
                <w:sz w:val="23"/>
                <w:szCs w:val="21"/>
                <w:highlight w:val="none"/>
              </w:rPr>
              <w:t>项目名称</w:t>
            </w:r>
          </w:p>
        </w:tc>
        <w:tc>
          <w:tcPr>
            <w:tcW w:w="1785" w:type="dxa"/>
            <w:tcBorders>
              <w:top w:val="single" w:color="auto" w:sz="4" w:space="0"/>
              <w:left w:val="single" w:color="auto" w:sz="4" w:space="0"/>
              <w:bottom w:val="single" w:color="auto" w:sz="4" w:space="0"/>
              <w:right w:val="single" w:color="auto" w:sz="4" w:space="0"/>
            </w:tcBorders>
            <w:shd w:val="clear" w:color="auto" w:fill="F3F3F3"/>
            <w:vAlign w:val="center"/>
          </w:tcPr>
          <w:p w14:paraId="0A3431B1">
            <w:pPr>
              <w:keepNext w:val="0"/>
              <w:keepLines w:val="0"/>
              <w:suppressLineNumbers w:val="0"/>
              <w:spacing w:before="0" w:beforeAutospacing="0" w:after="0" w:afterAutospacing="0"/>
              <w:ind w:left="0" w:right="0"/>
              <w:jc w:val="center"/>
              <w:rPr>
                <w:rFonts w:hint="default" w:ascii="仿宋" w:hAnsi="仿宋" w:eastAsia="仿宋" w:cs="仿宋_GB2312"/>
                <w:b/>
                <w:bCs/>
                <w:color w:val="auto"/>
                <w:sz w:val="23"/>
                <w:szCs w:val="21"/>
                <w:highlight w:val="none"/>
              </w:rPr>
            </w:pPr>
            <w:r>
              <w:rPr>
                <w:rFonts w:hint="eastAsia" w:ascii="仿宋" w:hAnsi="仿宋" w:eastAsia="仿宋" w:cs="仿宋_GB2312"/>
                <w:b/>
                <w:bCs/>
                <w:color w:val="auto"/>
                <w:sz w:val="23"/>
                <w:szCs w:val="21"/>
                <w:highlight w:val="none"/>
              </w:rPr>
              <w:t>合同金额(万元)</w:t>
            </w:r>
          </w:p>
        </w:tc>
        <w:tc>
          <w:tcPr>
            <w:tcW w:w="1599" w:type="dxa"/>
            <w:tcBorders>
              <w:top w:val="single" w:color="auto" w:sz="4" w:space="0"/>
              <w:left w:val="single" w:color="auto" w:sz="4" w:space="0"/>
              <w:bottom w:val="single" w:color="auto" w:sz="4" w:space="0"/>
              <w:right w:val="single" w:color="auto" w:sz="4" w:space="0"/>
            </w:tcBorders>
            <w:shd w:val="clear" w:color="auto" w:fill="F3F3F3"/>
            <w:vAlign w:val="center"/>
          </w:tcPr>
          <w:p w14:paraId="506E543A">
            <w:pPr>
              <w:keepNext w:val="0"/>
              <w:keepLines w:val="0"/>
              <w:suppressLineNumbers w:val="0"/>
              <w:spacing w:before="0" w:beforeAutospacing="0" w:after="0" w:afterAutospacing="0"/>
              <w:ind w:left="0" w:right="0"/>
              <w:jc w:val="center"/>
              <w:rPr>
                <w:rFonts w:hint="default" w:ascii="仿宋" w:hAnsi="仿宋" w:eastAsia="仿宋" w:cs="仿宋_GB2312"/>
                <w:b/>
                <w:bCs/>
                <w:color w:val="auto"/>
                <w:sz w:val="23"/>
                <w:szCs w:val="21"/>
                <w:highlight w:val="none"/>
              </w:rPr>
            </w:pPr>
            <w:r>
              <w:rPr>
                <w:rFonts w:hint="eastAsia" w:ascii="仿宋" w:hAnsi="仿宋" w:eastAsia="仿宋" w:cs="仿宋_GB2312"/>
                <w:b/>
                <w:bCs/>
                <w:color w:val="auto"/>
                <w:sz w:val="23"/>
                <w:szCs w:val="21"/>
                <w:highlight w:val="none"/>
              </w:rPr>
              <w:t>合同签订时间</w:t>
            </w:r>
          </w:p>
        </w:tc>
        <w:tc>
          <w:tcPr>
            <w:tcW w:w="1225" w:type="dxa"/>
            <w:tcBorders>
              <w:top w:val="single" w:color="auto" w:sz="4" w:space="0"/>
              <w:left w:val="single" w:color="auto" w:sz="4" w:space="0"/>
              <w:bottom w:val="single" w:color="auto" w:sz="4" w:space="0"/>
              <w:right w:val="single" w:color="auto" w:sz="4" w:space="0"/>
            </w:tcBorders>
            <w:shd w:val="clear" w:color="auto" w:fill="F3F3F3"/>
            <w:vAlign w:val="top"/>
          </w:tcPr>
          <w:p w14:paraId="5F3F04E1">
            <w:pPr>
              <w:keepNext w:val="0"/>
              <w:keepLines w:val="0"/>
              <w:suppressLineNumbers w:val="0"/>
              <w:spacing w:before="0" w:beforeAutospacing="0" w:after="0" w:afterAutospacing="0"/>
              <w:ind w:left="0" w:right="0"/>
              <w:jc w:val="center"/>
              <w:rPr>
                <w:rFonts w:hint="default" w:ascii="仿宋" w:hAnsi="仿宋" w:eastAsia="仿宋" w:cs="仿宋_GB2312"/>
                <w:b/>
                <w:bCs/>
                <w:color w:val="auto"/>
                <w:sz w:val="23"/>
                <w:szCs w:val="21"/>
                <w:highlight w:val="none"/>
              </w:rPr>
            </w:pPr>
            <w:r>
              <w:rPr>
                <w:rFonts w:hint="eastAsia" w:ascii="仿宋" w:hAnsi="仿宋" w:eastAsia="仿宋" w:cs="仿宋_GB2312"/>
                <w:b/>
                <w:bCs/>
                <w:color w:val="auto"/>
                <w:sz w:val="23"/>
                <w:szCs w:val="21"/>
                <w:highlight w:val="none"/>
              </w:rPr>
              <w:t>证明材料所在页码</w:t>
            </w:r>
          </w:p>
        </w:tc>
      </w:tr>
      <w:tr w14:paraId="2D85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797A31B">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r>
              <w:rPr>
                <w:rFonts w:hint="eastAsia" w:ascii="仿宋" w:hAnsi="仿宋" w:eastAsia="仿宋" w:cs="仿宋_GB2312"/>
                <w:color w:val="auto"/>
                <w:szCs w:val="21"/>
                <w:highlight w:val="none"/>
              </w:rPr>
              <w:t>1</w:t>
            </w:r>
          </w:p>
        </w:tc>
        <w:tc>
          <w:tcPr>
            <w:tcW w:w="1766" w:type="dxa"/>
            <w:tcBorders>
              <w:top w:val="single" w:color="auto" w:sz="4" w:space="0"/>
              <w:left w:val="single" w:color="auto" w:sz="4" w:space="0"/>
              <w:bottom w:val="single" w:color="auto" w:sz="4" w:space="0"/>
              <w:right w:val="single" w:color="auto" w:sz="4" w:space="0"/>
            </w:tcBorders>
            <w:vAlign w:val="center"/>
          </w:tcPr>
          <w:p w14:paraId="798DD537">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2077" w:type="dxa"/>
            <w:tcBorders>
              <w:top w:val="single" w:color="auto" w:sz="4" w:space="0"/>
              <w:left w:val="single" w:color="auto" w:sz="4" w:space="0"/>
              <w:bottom w:val="single" w:color="auto" w:sz="4" w:space="0"/>
              <w:right w:val="single" w:color="auto" w:sz="4" w:space="0"/>
            </w:tcBorders>
            <w:vAlign w:val="center"/>
          </w:tcPr>
          <w:p w14:paraId="741EE4AC">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2A7BDA4A">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14:paraId="7115ABDA">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vAlign w:val="top"/>
          </w:tcPr>
          <w:p w14:paraId="0D580DFE">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r>
      <w:tr w14:paraId="6F1E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07D2A">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r>
              <w:rPr>
                <w:rFonts w:hint="eastAsia" w:ascii="仿宋" w:hAnsi="仿宋" w:eastAsia="仿宋" w:cs="仿宋_GB2312"/>
                <w:color w:val="auto"/>
                <w:szCs w:val="21"/>
                <w:highlight w:val="none"/>
              </w:rPr>
              <w:t>2</w:t>
            </w:r>
          </w:p>
        </w:tc>
        <w:tc>
          <w:tcPr>
            <w:tcW w:w="1766" w:type="dxa"/>
            <w:tcBorders>
              <w:top w:val="single" w:color="auto" w:sz="4" w:space="0"/>
              <w:left w:val="single" w:color="auto" w:sz="4" w:space="0"/>
              <w:bottom w:val="single" w:color="auto" w:sz="4" w:space="0"/>
              <w:right w:val="single" w:color="auto" w:sz="4" w:space="0"/>
            </w:tcBorders>
            <w:vAlign w:val="center"/>
          </w:tcPr>
          <w:p w14:paraId="663CE77D">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2077" w:type="dxa"/>
            <w:tcBorders>
              <w:top w:val="single" w:color="auto" w:sz="4" w:space="0"/>
              <w:left w:val="single" w:color="auto" w:sz="4" w:space="0"/>
              <w:bottom w:val="single" w:color="auto" w:sz="4" w:space="0"/>
              <w:right w:val="single" w:color="auto" w:sz="4" w:space="0"/>
            </w:tcBorders>
            <w:vAlign w:val="center"/>
          </w:tcPr>
          <w:p w14:paraId="407E62CA">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179803DA">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14:paraId="16CBBFF1">
            <w:pPr>
              <w:keepNext w:val="0"/>
              <w:keepLines w:val="0"/>
              <w:suppressLineNumbers w:val="0"/>
              <w:spacing w:before="0" w:beforeAutospacing="0" w:after="0" w:afterAutospacing="0"/>
              <w:ind w:left="0" w:right="0"/>
              <w:rPr>
                <w:rFonts w:hint="default" w:ascii="仿宋" w:hAnsi="仿宋" w:eastAsia="仿宋" w:cs="仿宋_GB2312"/>
                <w:color w:val="auto"/>
                <w:highlight w:val="none"/>
              </w:rPr>
            </w:pPr>
          </w:p>
        </w:tc>
        <w:tc>
          <w:tcPr>
            <w:tcW w:w="1225" w:type="dxa"/>
            <w:tcBorders>
              <w:top w:val="single" w:color="auto" w:sz="4" w:space="0"/>
              <w:left w:val="single" w:color="auto" w:sz="4" w:space="0"/>
              <w:bottom w:val="single" w:color="auto" w:sz="4" w:space="0"/>
              <w:right w:val="single" w:color="auto" w:sz="4" w:space="0"/>
            </w:tcBorders>
            <w:vAlign w:val="top"/>
          </w:tcPr>
          <w:p w14:paraId="7DBB5830">
            <w:pPr>
              <w:keepNext w:val="0"/>
              <w:keepLines w:val="0"/>
              <w:suppressLineNumbers w:val="0"/>
              <w:spacing w:before="0" w:beforeAutospacing="0" w:after="0" w:afterAutospacing="0"/>
              <w:ind w:left="0" w:right="0"/>
              <w:rPr>
                <w:rFonts w:hint="default" w:ascii="仿宋" w:hAnsi="仿宋" w:eastAsia="仿宋" w:cs="仿宋_GB2312"/>
                <w:color w:val="auto"/>
                <w:highlight w:val="none"/>
              </w:rPr>
            </w:pPr>
          </w:p>
        </w:tc>
      </w:tr>
      <w:tr w14:paraId="3278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06A9B91">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r>
              <w:rPr>
                <w:rFonts w:hint="eastAsia" w:ascii="仿宋" w:hAnsi="仿宋" w:eastAsia="仿宋" w:cs="仿宋_GB2312"/>
                <w:color w:val="auto"/>
                <w:szCs w:val="21"/>
                <w:highlight w:val="none"/>
              </w:rPr>
              <w:t>3</w:t>
            </w:r>
          </w:p>
        </w:tc>
        <w:tc>
          <w:tcPr>
            <w:tcW w:w="1766" w:type="dxa"/>
            <w:tcBorders>
              <w:top w:val="single" w:color="auto" w:sz="4" w:space="0"/>
              <w:left w:val="single" w:color="auto" w:sz="4" w:space="0"/>
              <w:bottom w:val="single" w:color="auto" w:sz="4" w:space="0"/>
              <w:right w:val="single" w:color="auto" w:sz="4" w:space="0"/>
            </w:tcBorders>
            <w:vAlign w:val="center"/>
          </w:tcPr>
          <w:p w14:paraId="41A592C7">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2077" w:type="dxa"/>
            <w:tcBorders>
              <w:top w:val="single" w:color="auto" w:sz="4" w:space="0"/>
              <w:left w:val="single" w:color="auto" w:sz="4" w:space="0"/>
              <w:bottom w:val="single" w:color="auto" w:sz="4" w:space="0"/>
              <w:right w:val="single" w:color="auto" w:sz="4" w:space="0"/>
            </w:tcBorders>
            <w:vAlign w:val="center"/>
          </w:tcPr>
          <w:p w14:paraId="03C72096">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3E1BFEC6">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14:paraId="6F0D791C">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vAlign w:val="top"/>
          </w:tcPr>
          <w:p w14:paraId="7E8ED0DE">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r>
      <w:tr w14:paraId="17F2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D747E4">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r>
              <w:rPr>
                <w:rFonts w:hint="eastAsia" w:ascii="仿宋" w:hAnsi="仿宋" w:eastAsia="仿宋" w:cs="仿宋_GB2312"/>
                <w:color w:val="auto"/>
                <w:szCs w:val="21"/>
                <w:highlight w:val="none"/>
              </w:rPr>
              <w:t>…</w:t>
            </w:r>
          </w:p>
        </w:tc>
        <w:tc>
          <w:tcPr>
            <w:tcW w:w="1766" w:type="dxa"/>
            <w:tcBorders>
              <w:top w:val="single" w:color="auto" w:sz="4" w:space="0"/>
              <w:left w:val="single" w:color="auto" w:sz="4" w:space="0"/>
              <w:bottom w:val="single" w:color="auto" w:sz="4" w:space="0"/>
              <w:right w:val="single" w:color="auto" w:sz="4" w:space="0"/>
            </w:tcBorders>
            <w:vAlign w:val="center"/>
          </w:tcPr>
          <w:p w14:paraId="512FC76E">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2077" w:type="dxa"/>
            <w:tcBorders>
              <w:top w:val="single" w:color="auto" w:sz="4" w:space="0"/>
              <w:left w:val="single" w:color="auto" w:sz="4" w:space="0"/>
              <w:bottom w:val="single" w:color="auto" w:sz="4" w:space="0"/>
              <w:right w:val="single" w:color="auto" w:sz="4" w:space="0"/>
            </w:tcBorders>
            <w:vAlign w:val="center"/>
          </w:tcPr>
          <w:p w14:paraId="267F131F">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7C725652">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14:paraId="431F2C44">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vAlign w:val="top"/>
          </w:tcPr>
          <w:p w14:paraId="1CDF3D35">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r>
    </w:tbl>
    <w:p w14:paraId="56068060">
      <w:pPr>
        <w:spacing w:line="360" w:lineRule="auto"/>
        <w:rPr>
          <w:rFonts w:ascii="仿宋" w:hAnsi="仿宋" w:eastAsia="仿宋" w:cs="仿宋_GB2312"/>
          <w:color w:val="auto"/>
          <w:sz w:val="24"/>
          <w:szCs w:val="28"/>
          <w:highlight w:val="none"/>
        </w:rPr>
      </w:pPr>
      <w:r>
        <w:rPr>
          <w:rFonts w:hint="eastAsia" w:ascii="仿宋" w:hAnsi="仿宋" w:eastAsia="仿宋" w:cs="仿宋_GB2312"/>
          <w:color w:val="auto"/>
          <w:sz w:val="24"/>
          <w:szCs w:val="28"/>
          <w:highlight w:val="none"/>
        </w:rPr>
        <w:t>注：1.按商务部分评分标准。</w:t>
      </w:r>
    </w:p>
    <w:p w14:paraId="17C7B342">
      <w:pPr>
        <w:spacing w:line="360" w:lineRule="auto"/>
        <w:ind w:firstLine="480" w:firstLineChars="200"/>
        <w:rPr>
          <w:rFonts w:ascii="仿宋" w:hAnsi="仿宋" w:eastAsia="仿宋" w:cs="仿宋_GB2312"/>
          <w:color w:val="auto"/>
          <w:sz w:val="24"/>
          <w:szCs w:val="28"/>
          <w:highlight w:val="none"/>
        </w:rPr>
      </w:pPr>
      <w:r>
        <w:rPr>
          <w:rFonts w:hint="eastAsia" w:ascii="仿宋" w:hAnsi="仿宋" w:eastAsia="仿宋" w:cs="仿宋_GB2312"/>
          <w:color w:val="auto"/>
          <w:sz w:val="24"/>
          <w:szCs w:val="28"/>
          <w:highlight w:val="none"/>
        </w:rPr>
        <w:t>2.根据本表中的业绩项目顺序，单独填列以下《单项业绩情况表》。</w:t>
      </w:r>
    </w:p>
    <w:p w14:paraId="3A430A49">
      <w:pPr>
        <w:spacing w:line="360" w:lineRule="auto"/>
        <w:jc w:val="center"/>
        <w:rPr>
          <w:rFonts w:ascii="仿宋" w:hAnsi="仿宋" w:eastAsia="仿宋" w:cs="仿宋_GB2312"/>
          <w:b/>
          <w:color w:val="auto"/>
          <w:sz w:val="32"/>
          <w:szCs w:val="28"/>
          <w:highlight w:val="none"/>
        </w:rPr>
      </w:pPr>
    </w:p>
    <w:p w14:paraId="326A2DAF">
      <w:pPr>
        <w:spacing w:line="360" w:lineRule="auto"/>
        <w:jc w:val="center"/>
        <w:rPr>
          <w:rFonts w:ascii="仿宋" w:hAnsi="仿宋" w:eastAsia="仿宋" w:cs="仿宋_GB2312"/>
          <w:b/>
          <w:color w:val="auto"/>
          <w:sz w:val="32"/>
          <w:szCs w:val="28"/>
          <w:highlight w:val="none"/>
        </w:rPr>
      </w:pPr>
      <w:r>
        <w:rPr>
          <w:rFonts w:hint="eastAsia" w:ascii="仿宋" w:hAnsi="仿宋" w:eastAsia="仿宋" w:cs="仿宋_GB2312"/>
          <w:b/>
          <w:color w:val="auto"/>
          <w:sz w:val="32"/>
          <w:szCs w:val="28"/>
          <w:highlight w:val="none"/>
        </w:rPr>
        <w:t>单项业绩情况表(序号：</w:t>
      </w:r>
      <w:r>
        <w:rPr>
          <w:rFonts w:hint="eastAsia" w:ascii="仿宋" w:hAnsi="仿宋" w:eastAsia="仿宋" w:cs="仿宋_GB2312"/>
          <w:b/>
          <w:color w:val="auto"/>
          <w:sz w:val="32"/>
          <w:szCs w:val="28"/>
          <w:highlight w:val="none"/>
          <w:u w:val="single"/>
        </w:rPr>
        <w:t xml:space="preserve">  </w:t>
      </w:r>
      <w:r>
        <w:rPr>
          <w:rFonts w:hint="eastAsia" w:ascii="仿宋" w:hAnsi="仿宋" w:eastAsia="仿宋" w:cs="仿宋_GB2312"/>
          <w:b/>
          <w:color w:val="auto"/>
          <w:sz w:val="32"/>
          <w:szCs w:val="28"/>
          <w:highlight w:val="none"/>
        </w:rPr>
        <w:t>)</w:t>
      </w:r>
    </w:p>
    <w:p w14:paraId="0E0E5976">
      <w:pPr>
        <w:tabs>
          <w:tab w:val="left" w:pos="540"/>
        </w:tabs>
        <w:spacing w:line="360" w:lineRule="auto"/>
        <w:jc w:val="center"/>
        <w:rPr>
          <w:rFonts w:ascii="仿宋" w:hAnsi="仿宋" w:eastAsia="仿宋" w:cs="仿宋_GB2312"/>
          <w:b/>
          <w:color w:val="auto"/>
          <w:sz w:val="20"/>
          <w:szCs w:val="28"/>
          <w:highlight w:val="none"/>
        </w:rPr>
      </w:pPr>
    </w:p>
    <w:tbl>
      <w:tblPr>
        <w:tblStyle w:val="23"/>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675"/>
        <w:gridCol w:w="4620"/>
      </w:tblGrid>
      <w:tr w14:paraId="5925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38" w:type="dxa"/>
            <w:vAlign w:val="center"/>
          </w:tcPr>
          <w:p w14:paraId="7DBD5205">
            <w:pPr>
              <w:keepNext w:val="0"/>
              <w:keepLines w:val="0"/>
              <w:suppressLineNumbers w:val="0"/>
              <w:tabs>
                <w:tab w:val="left" w:pos="540"/>
              </w:tabs>
              <w:spacing w:before="0" w:beforeAutospacing="0" w:after="0" w:afterAutospacing="0" w:line="360" w:lineRule="auto"/>
              <w:ind w:left="0" w:right="0"/>
              <w:jc w:val="center"/>
              <w:rPr>
                <w:rFonts w:hint="default" w:ascii="仿宋" w:hAnsi="仿宋" w:eastAsia="仿宋" w:cs="仿宋_GB2312"/>
                <w:bCs/>
                <w:color w:val="auto"/>
                <w:sz w:val="25"/>
                <w:szCs w:val="21"/>
                <w:highlight w:val="none"/>
              </w:rPr>
            </w:pPr>
            <w:r>
              <w:rPr>
                <w:rFonts w:hint="eastAsia" w:ascii="仿宋" w:hAnsi="仿宋" w:eastAsia="仿宋" w:cs="仿宋_GB2312"/>
                <w:bCs/>
                <w:color w:val="auto"/>
                <w:sz w:val="25"/>
                <w:szCs w:val="21"/>
                <w:highlight w:val="none"/>
              </w:rPr>
              <w:t>1</w:t>
            </w:r>
          </w:p>
        </w:tc>
        <w:tc>
          <w:tcPr>
            <w:tcW w:w="3675" w:type="dxa"/>
            <w:vAlign w:val="center"/>
          </w:tcPr>
          <w:p w14:paraId="47EAE84F">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_GB2312"/>
                <w:bCs/>
                <w:color w:val="auto"/>
                <w:sz w:val="25"/>
                <w:szCs w:val="21"/>
                <w:highlight w:val="none"/>
              </w:rPr>
            </w:pPr>
            <w:r>
              <w:rPr>
                <w:rFonts w:hint="eastAsia" w:ascii="仿宋" w:hAnsi="仿宋" w:eastAsia="仿宋" w:cs="仿宋_GB2312"/>
                <w:bCs/>
                <w:color w:val="auto"/>
                <w:sz w:val="25"/>
                <w:szCs w:val="21"/>
                <w:highlight w:val="none"/>
              </w:rPr>
              <w:t>项目名称</w:t>
            </w:r>
          </w:p>
        </w:tc>
        <w:tc>
          <w:tcPr>
            <w:tcW w:w="4620" w:type="dxa"/>
            <w:vAlign w:val="center"/>
          </w:tcPr>
          <w:p w14:paraId="6BA6B9F5">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_GB2312"/>
                <w:b/>
                <w:color w:val="auto"/>
                <w:sz w:val="25"/>
                <w:szCs w:val="28"/>
                <w:highlight w:val="none"/>
              </w:rPr>
            </w:pPr>
          </w:p>
        </w:tc>
      </w:tr>
      <w:tr w14:paraId="2A2C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38" w:type="dxa"/>
            <w:vAlign w:val="center"/>
          </w:tcPr>
          <w:p w14:paraId="571D79D2">
            <w:pPr>
              <w:keepNext w:val="0"/>
              <w:keepLines w:val="0"/>
              <w:suppressLineNumbers w:val="0"/>
              <w:tabs>
                <w:tab w:val="left" w:pos="540"/>
              </w:tabs>
              <w:spacing w:before="0" w:beforeAutospacing="0" w:after="0" w:afterAutospacing="0" w:line="360" w:lineRule="auto"/>
              <w:ind w:left="0" w:right="0"/>
              <w:jc w:val="center"/>
              <w:rPr>
                <w:rFonts w:hint="default" w:ascii="仿宋" w:hAnsi="仿宋" w:eastAsia="仿宋" w:cs="仿宋_GB2312"/>
                <w:bCs/>
                <w:color w:val="auto"/>
                <w:sz w:val="25"/>
                <w:szCs w:val="21"/>
                <w:highlight w:val="none"/>
              </w:rPr>
            </w:pPr>
            <w:r>
              <w:rPr>
                <w:rFonts w:hint="eastAsia" w:ascii="仿宋" w:hAnsi="仿宋" w:eastAsia="仿宋" w:cs="仿宋_GB2312"/>
                <w:bCs/>
                <w:color w:val="auto"/>
                <w:sz w:val="25"/>
                <w:szCs w:val="21"/>
                <w:highlight w:val="none"/>
              </w:rPr>
              <w:t>2</w:t>
            </w:r>
          </w:p>
        </w:tc>
        <w:tc>
          <w:tcPr>
            <w:tcW w:w="3675" w:type="dxa"/>
            <w:vAlign w:val="center"/>
          </w:tcPr>
          <w:p w14:paraId="34677E25">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_GB2312"/>
                <w:bCs/>
                <w:color w:val="auto"/>
                <w:sz w:val="25"/>
                <w:szCs w:val="21"/>
                <w:highlight w:val="none"/>
              </w:rPr>
            </w:pPr>
            <w:r>
              <w:rPr>
                <w:rFonts w:hint="eastAsia" w:ascii="仿宋" w:hAnsi="仿宋" w:eastAsia="仿宋" w:cs="仿宋_GB2312"/>
                <w:bCs/>
                <w:color w:val="auto"/>
                <w:sz w:val="25"/>
                <w:szCs w:val="21"/>
                <w:highlight w:val="none"/>
              </w:rPr>
              <w:t>客户名称</w:t>
            </w:r>
          </w:p>
        </w:tc>
        <w:tc>
          <w:tcPr>
            <w:tcW w:w="4620" w:type="dxa"/>
            <w:vAlign w:val="center"/>
          </w:tcPr>
          <w:p w14:paraId="4BD6B3E3">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_GB2312"/>
                <w:b/>
                <w:color w:val="auto"/>
                <w:sz w:val="25"/>
                <w:szCs w:val="28"/>
                <w:highlight w:val="none"/>
              </w:rPr>
            </w:pPr>
          </w:p>
        </w:tc>
      </w:tr>
      <w:tr w14:paraId="4943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8" w:type="dxa"/>
            <w:vAlign w:val="center"/>
          </w:tcPr>
          <w:p w14:paraId="2188D8E8">
            <w:pPr>
              <w:keepNext w:val="0"/>
              <w:keepLines w:val="0"/>
              <w:suppressLineNumbers w:val="0"/>
              <w:tabs>
                <w:tab w:val="left" w:pos="540"/>
              </w:tabs>
              <w:spacing w:before="0" w:beforeAutospacing="0" w:after="0" w:afterAutospacing="0" w:line="360" w:lineRule="auto"/>
              <w:ind w:left="0" w:right="0"/>
              <w:jc w:val="center"/>
              <w:rPr>
                <w:rFonts w:hint="default" w:ascii="仿宋" w:hAnsi="仿宋" w:eastAsia="仿宋" w:cs="仿宋_GB2312"/>
                <w:bCs/>
                <w:color w:val="auto"/>
                <w:sz w:val="25"/>
                <w:szCs w:val="21"/>
                <w:highlight w:val="none"/>
              </w:rPr>
            </w:pPr>
            <w:r>
              <w:rPr>
                <w:rFonts w:hint="eastAsia" w:ascii="仿宋" w:hAnsi="仿宋" w:eastAsia="仿宋" w:cs="仿宋_GB2312"/>
                <w:bCs/>
                <w:color w:val="auto"/>
                <w:sz w:val="25"/>
                <w:szCs w:val="21"/>
                <w:highlight w:val="none"/>
              </w:rPr>
              <w:t>3</w:t>
            </w:r>
          </w:p>
        </w:tc>
        <w:tc>
          <w:tcPr>
            <w:tcW w:w="3675" w:type="dxa"/>
            <w:vAlign w:val="center"/>
          </w:tcPr>
          <w:p w14:paraId="454F7439">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_GB2312"/>
                <w:bCs/>
                <w:color w:val="auto"/>
                <w:sz w:val="25"/>
                <w:szCs w:val="21"/>
                <w:highlight w:val="none"/>
              </w:rPr>
            </w:pPr>
            <w:r>
              <w:rPr>
                <w:rFonts w:hint="eastAsia" w:ascii="仿宋" w:hAnsi="仿宋" w:eastAsia="仿宋" w:cs="仿宋_GB2312"/>
                <w:bCs/>
                <w:color w:val="auto"/>
                <w:sz w:val="25"/>
                <w:szCs w:val="21"/>
                <w:highlight w:val="none"/>
              </w:rPr>
              <w:t>合同金额（万元）</w:t>
            </w:r>
          </w:p>
        </w:tc>
        <w:tc>
          <w:tcPr>
            <w:tcW w:w="4620" w:type="dxa"/>
            <w:vAlign w:val="center"/>
          </w:tcPr>
          <w:p w14:paraId="754CBCAB">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_GB2312"/>
                <w:b/>
                <w:color w:val="auto"/>
                <w:sz w:val="25"/>
                <w:szCs w:val="28"/>
                <w:highlight w:val="none"/>
              </w:rPr>
            </w:pPr>
          </w:p>
        </w:tc>
      </w:tr>
      <w:tr w14:paraId="469A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38" w:type="dxa"/>
            <w:vAlign w:val="center"/>
          </w:tcPr>
          <w:p w14:paraId="448A6EFC">
            <w:pPr>
              <w:keepNext w:val="0"/>
              <w:keepLines w:val="0"/>
              <w:suppressLineNumbers w:val="0"/>
              <w:tabs>
                <w:tab w:val="left" w:pos="540"/>
              </w:tabs>
              <w:spacing w:before="0" w:beforeAutospacing="0" w:after="0" w:afterAutospacing="0" w:line="360" w:lineRule="auto"/>
              <w:ind w:left="0" w:right="0"/>
              <w:jc w:val="center"/>
              <w:rPr>
                <w:rFonts w:hint="default" w:ascii="仿宋" w:hAnsi="仿宋" w:eastAsia="仿宋" w:cs="仿宋_GB2312"/>
                <w:bCs/>
                <w:color w:val="auto"/>
                <w:sz w:val="25"/>
                <w:szCs w:val="21"/>
                <w:highlight w:val="none"/>
              </w:rPr>
            </w:pPr>
            <w:r>
              <w:rPr>
                <w:rFonts w:hint="eastAsia" w:ascii="仿宋" w:hAnsi="仿宋" w:eastAsia="仿宋" w:cs="仿宋_GB2312"/>
                <w:bCs/>
                <w:color w:val="auto"/>
                <w:sz w:val="25"/>
                <w:szCs w:val="21"/>
                <w:highlight w:val="none"/>
              </w:rPr>
              <w:t>4</w:t>
            </w:r>
          </w:p>
        </w:tc>
        <w:tc>
          <w:tcPr>
            <w:tcW w:w="3675" w:type="dxa"/>
            <w:vAlign w:val="center"/>
          </w:tcPr>
          <w:p w14:paraId="7E55AFAB">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_GB2312"/>
                <w:bCs/>
                <w:color w:val="auto"/>
                <w:sz w:val="25"/>
                <w:szCs w:val="21"/>
                <w:highlight w:val="none"/>
              </w:rPr>
            </w:pPr>
            <w:r>
              <w:rPr>
                <w:rFonts w:hint="eastAsia" w:ascii="仿宋" w:hAnsi="仿宋" w:eastAsia="仿宋" w:cs="仿宋_GB2312"/>
                <w:bCs/>
                <w:color w:val="auto"/>
                <w:sz w:val="25"/>
                <w:szCs w:val="21"/>
                <w:highlight w:val="none"/>
              </w:rPr>
              <w:t>合同签订时间</w:t>
            </w:r>
          </w:p>
        </w:tc>
        <w:tc>
          <w:tcPr>
            <w:tcW w:w="4620" w:type="dxa"/>
            <w:vAlign w:val="center"/>
          </w:tcPr>
          <w:p w14:paraId="1826A5B1">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_GB2312"/>
                <w:b/>
                <w:color w:val="auto"/>
                <w:sz w:val="25"/>
                <w:szCs w:val="28"/>
                <w:highlight w:val="none"/>
              </w:rPr>
            </w:pPr>
          </w:p>
        </w:tc>
      </w:tr>
      <w:tr w14:paraId="11A0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8" w:type="dxa"/>
            <w:vAlign w:val="center"/>
          </w:tcPr>
          <w:p w14:paraId="33B81295">
            <w:pPr>
              <w:keepNext w:val="0"/>
              <w:keepLines w:val="0"/>
              <w:suppressLineNumbers w:val="0"/>
              <w:tabs>
                <w:tab w:val="left" w:pos="540"/>
              </w:tabs>
              <w:spacing w:before="0" w:beforeAutospacing="0" w:after="0" w:afterAutospacing="0" w:line="360" w:lineRule="auto"/>
              <w:ind w:left="0" w:right="0"/>
              <w:jc w:val="center"/>
              <w:rPr>
                <w:rFonts w:hint="default" w:ascii="仿宋" w:hAnsi="仿宋" w:eastAsia="仿宋" w:cs="仿宋_GB2312"/>
                <w:bCs/>
                <w:color w:val="auto"/>
                <w:sz w:val="25"/>
                <w:szCs w:val="21"/>
                <w:highlight w:val="none"/>
              </w:rPr>
            </w:pPr>
            <w:r>
              <w:rPr>
                <w:rFonts w:hint="eastAsia" w:ascii="仿宋" w:hAnsi="仿宋" w:eastAsia="仿宋" w:cs="仿宋_GB2312"/>
                <w:bCs/>
                <w:color w:val="auto"/>
                <w:sz w:val="25"/>
                <w:szCs w:val="21"/>
                <w:highlight w:val="none"/>
              </w:rPr>
              <w:t>5</w:t>
            </w:r>
          </w:p>
        </w:tc>
        <w:tc>
          <w:tcPr>
            <w:tcW w:w="3675" w:type="dxa"/>
            <w:vAlign w:val="center"/>
          </w:tcPr>
          <w:p w14:paraId="5152A814">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_GB2312"/>
                <w:bCs/>
                <w:color w:val="auto"/>
                <w:sz w:val="25"/>
                <w:szCs w:val="21"/>
                <w:highlight w:val="none"/>
              </w:rPr>
            </w:pPr>
            <w:r>
              <w:rPr>
                <w:rFonts w:hint="eastAsia" w:ascii="仿宋" w:hAnsi="仿宋" w:eastAsia="仿宋" w:cs="仿宋_GB2312"/>
                <w:bCs/>
                <w:color w:val="auto"/>
                <w:sz w:val="25"/>
                <w:szCs w:val="21"/>
                <w:highlight w:val="none"/>
              </w:rPr>
              <w:t>联系人及电话</w:t>
            </w:r>
          </w:p>
        </w:tc>
        <w:tc>
          <w:tcPr>
            <w:tcW w:w="4620" w:type="dxa"/>
            <w:vAlign w:val="center"/>
          </w:tcPr>
          <w:p w14:paraId="2FD9443D">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_GB2312"/>
                <w:b/>
                <w:color w:val="auto"/>
                <w:sz w:val="25"/>
                <w:szCs w:val="28"/>
                <w:highlight w:val="none"/>
              </w:rPr>
            </w:pPr>
          </w:p>
        </w:tc>
      </w:tr>
    </w:tbl>
    <w:p w14:paraId="71BEC687">
      <w:pPr>
        <w:spacing w:line="360" w:lineRule="auto"/>
        <w:rPr>
          <w:rFonts w:ascii="仿宋" w:hAnsi="仿宋" w:eastAsia="仿宋" w:cs="仿宋_GB2312"/>
          <w:b/>
          <w:color w:val="auto"/>
          <w:sz w:val="26"/>
          <w:szCs w:val="28"/>
          <w:highlight w:val="none"/>
          <w:u w:val="single"/>
        </w:rPr>
      </w:pPr>
      <w:r>
        <w:rPr>
          <w:rFonts w:hint="eastAsia" w:ascii="仿宋" w:hAnsi="仿宋" w:eastAsia="仿宋" w:cs="仿宋_GB2312"/>
          <w:b/>
          <w:color w:val="auto"/>
          <w:sz w:val="24"/>
          <w:highlight w:val="none"/>
          <w:u w:val="single"/>
        </w:rPr>
        <w:t>后附该业绩的项目交合同复印件并加盖公章，如不提供，评分不得分。</w:t>
      </w:r>
    </w:p>
    <w:p w14:paraId="375DA6F5">
      <w:pPr>
        <w:tabs>
          <w:tab w:val="left" w:pos="540"/>
        </w:tabs>
        <w:wordWrap w:val="0"/>
        <w:adjustRightInd w:val="0"/>
        <w:snapToGrid w:val="0"/>
        <w:spacing w:line="360" w:lineRule="auto"/>
        <w:rPr>
          <w:rFonts w:hint="eastAsia" w:ascii="仿宋" w:hAnsi="仿宋" w:eastAsia="仿宋" w:cs="仿宋"/>
          <w:color w:val="auto"/>
          <w:sz w:val="24"/>
          <w:highlight w:val="none"/>
        </w:rPr>
      </w:pPr>
      <w:r>
        <w:rPr>
          <w:rFonts w:ascii="仿宋" w:hAnsi="仿宋" w:eastAsia="仿宋" w:cs="仿宋"/>
          <w:b/>
          <w:color w:val="auto"/>
          <w:sz w:val="28"/>
          <w:szCs w:val="28"/>
          <w:highlight w:val="none"/>
        </w:rPr>
        <w:br w:type="page"/>
      </w:r>
    </w:p>
    <w:p w14:paraId="3B7A31C8">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投入</w:t>
      </w:r>
      <w:r>
        <w:rPr>
          <w:rFonts w:hint="eastAsia" w:ascii="仿宋" w:hAnsi="仿宋" w:eastAsia="仿宋" w:cs="仿宋"/>
          <w:b/>
          <w:bCs/>
          <w:color w:val="auto"/>
          <w:sz w:val="28"/>
          <w:szCs w:val="28"/>
          <w:highlight w:val="none"/>
        </w:rPr>
        <w:t>人员情况</w:t>
      </w:r>
    </w:p>
    <w:p w14:paraId="6A843ACE">
      <w:pPr>
        <w:pStyle w:val="78"/>
        <w:kinsoku/>
        <w:wordWrap w:val="0"/>
        <w:overflowPunct/>
        <w:bidi w:val="0"/>
        <w:rPr>
          <w:rFonts w:hint="eastAsia" w:ascii="仿宋" w:hAnsi="仿宋" w:eastAsia="仿宋" w:cs="仿宋"/>
          <w:color w:val="auto"/>
          <w:highlight w:val="none"/>
        </w:rPr>
      </w:pPr>
    </w:p>
    <w:tbl>
      <w:tblPr>
        <w:tblStyle w:val="23"/>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55"/>
        <w:gridCol w:w="1874"/>
        <w:gridCol w:w="1859"/>
        <w:gridCol w:w="1676"/>
        <w:gridCol w:w="1677"/>
      </w:tblGrid>
      <w:tr w14:paraId="0997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F3F3F3"/>
            <w:vAlign w:val="center"/>
          </w:tcPr>
          <w:p w14:paraId="0E86A8BD">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1455" w:type="dxa"/>
            <w:tcBorders>
              <w:top w:val="single" w:color="auto" w:sz="4" w:space="0"/>
              <w:left w:val="single" w:color="auto" w:sz="4" w:space="0"/>
              <w:bottom w:val="single" w:color="auto" w:sz="4" w:space="0"/>
              <w:right w:val="single" w:color="auto" w:sz="4" w:space="0"/>
            </w:tcBorders>
            <w:shd w:val="clear" w:color="auto" w:fill="F3F3F3"/>
            <w:vAlign w:val="center"/>
          </w:tcPr>
          <w:p w14:paraId="08CBF318">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val="en-US" w:eastAsia="zh-CN"/>
              </w:rPr>
              <w:t>岗位</w:t>
            </w:r>
          </w:p>
        </w:tc>
        <w:tc>
          <w:tcPr>
            <w:tcW w:w="1874" w:type="dxa"/>
            <w:tcBorders>
              <w:top w:val="single" w:color="auto" w:sz="4" w:space="0"/>
              <w:left w:val="single" w:color="auto" w:sz="4" w:space="0"/>
              <w:bottom w:val="single" w:color="auto" w:sz="4" w:space="0"/>
              <w:right w:val="single" w:color="auto" w:sz="4" w:space="0"/>
            </w:tcBorders>
            <w:shd w:val="clear" w:color="auto" w:fill="F3F3F3"/>
            <w:vAlign w:val="center"/>
          </w:tcPr>
          <w:p w14:paraId="45B45360">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相关</w:t>
            </w:r>
            <w:r>
              <w:rPr>
                <w:rFonts w:hint="eastAsia" w:ascii="仿宋" w:hAnsi="仿宋" w:eastAsia="仿宋" w:cs="仿宋"/>
                <w:b/>
                <w:color w:val="auto"/>
                <w:sz w:val="21"/>
                <w:szCs w:val="21"/>
                <w:highlight w:val="none"/>
              </w:rPr>
              <w:t>证书名称</w:t>
            </w:r>
          </w:p>
        </w:tc>
        <w:tc>
          <w:tcPr>
            <w:tcW w:w="1859" w:type="dxa"/>
            <w:tcBorders>
              <w:top w:val="single" w:color="auto" w:sz="4" w:space="0"/>
              <w:left w:val="single" w:color="auto" w:sz="4" w:space="0"/>
              <w:bottom w:val="single" w:color="auto" w:sz="4" w:space="0"/>
              <w:right w:val="single" w:color="auto" w:sz="4" w:space="0"/>
            </w:tcBorders>
            <w:shd w:val="clear" w:color="auto" w:fill="F3F3F3"/>
            <w:vAlign w:val="center"/>
          </w:tcPr>
          <w:p w14:paraId="1663CF5A">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发证机构</w:t>
            </w:r>
          </w:p>
        </w:tc>
        <w:tc>
          <w:tcPr>
            <w:tcW w:w="1676" w:type="dxa"/>
            <w:tcBorders>
              <w:top w:val="single" w:color="auto" w:sz="4" w:space="0"/>
              <w:left w:val="single" w:color="auto" w:sz="4" w:space="0"/>
              <w:bottom w:val="single" w:color="auto" w:sz="4" w:space="0"/>
              <w:right w:val="single" w:color="auto" w:sz="4" w:space="0"/>
            </w:tcBorders>
            <w:shd w:val="clear" w:color="auto" w:fill="F3F3F3"/>
            <w:vAlign w:val="center"/>
          </w:tcPr>
          <w:p w14:paraId="0807BDD5">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发证日期</w:t>
            </w:r>
          </w:p>
        </w:tc>
        <w:tc>
          <w:tcPr>
            <w:tcW w:w="1677" w:type="dxa"/>
            <w:tcBorders>
              <w:top w:val="single" w:color="auto" w:sz="4" w:space="0"/>
              <w:left w:val="single" w:color="auto" w:sz="4" w:space="0"/>
              <w:bottom w:val="single" w:color="auto" w:sz="4" w:space="0"/>
              <w:right w:val="single" w:color="auto" w:sz="4" w:space="0"/>
            </w:tcBorders>
            <w:shd w:val="clear" w:color="auto" w:fill="F3F3F3"/>
            <w:vAlign w:val="center"/>
          </w:tcPr>
          <w:p w14:paraId="0880B0A2">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有效期</w:t>
            </w:r>
          </w:p>
        </w:tc>
      </w:tr>
      <w:tr w14:paraId="63B1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6DFC4BF">
            <w:pPr>
              <w:pStyle w:val="79"/>
              <w:keepNext w:val="0"/>
              <w:keepLines w:val="0"/>
              <w:numPr>
                <w:ilvl w:val="0"/>
                <w:numId w:val="3"/>
              </w:numPr>
              <w:suppressLineNumbers w:val="0"/>
              <w:tabs>
                <w:tab w:val="left" w:pos="199"/>
              </w:tabs>
              <w:kinsoku/>
              <w:wordWrap w:val="0"/>
              <w:overflowPunct/>
              <w:bidi w:val="0"/>
              <w:spacing w:before="0" w:beforeAutospacing="0" w:after="0" w:afterAutospacing="0"/>
              <w:ind w:right="0"/>
              <w:jc w:val="center"/>
              <w:rPr>
                <w:rFonts w:hint="eastAsia" w:ascii="仿宋" w:hAnsi="仿宋" w:eastAsia="仿宋" w:cs="仿宋"/>
                <w:color w:val="auto"/>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1E32B480">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14:paraId="02AB19AB">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59" w:type="dxa"/>
            <w:tcBorders>
              <w:top w:val="single" w:color="auto" w:sz="4" w:space="0"/>
              <w:left w:val="single" w:color="auto" w:sz="4" w:space="0"/>
              <w:bottom w:val="single" w:color="auto" w:sz="4" w:space="0"/>
              <w:right w:val="single" w:color="auto" w:sz="4" w:space="0"/>
            </w:tcBorders>
            <w:vAlign w:val="center"/>
          </w:tcPr>
          <w:p w14:paraId="4B7724D2">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14:paraId="2E40F2E5">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152B09DE">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r>
      <w:tr w14:paraId="77CF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0881C21">
            <w:pPr>
              <w:pStyle w:val="79"/>
              <w:keepNext w:val="0"/>
              <w:keepLines w:val="0"/>
              <w:numPr>
                <w:ilvl w:val="0"/>
                <w:numId w:val="3"/>
              </w:numPr>
              <w:suppressLineNumbers w:val="0"/>
              <w:tabs>
                <w:tab w:val="left" w:pos="199"/>
              </w:tabs>
              <w:kinsoku/>
              <w:wordWrap w:val="0"/>
              <w:overflowPunct/>
              <w:bidi w:val="0"/>
              <w:spacing w:before="0" w:beforeAutospacing="0" w:after="0" w:afterAutospacing="0"/>
              <w:ind w:right="0"/>
              <w:jc w:val="center"/>
              <w:rPr>
                <w:rFonts w:hint="eastAsia" w:ascii="仿宋" w:hAnsi="仿宋" w:eastAsia="仿宋" w:cs="仿宋"/>
                <w:color w:val="auto"/>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78F066EB">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14:paraId="3116AE16">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59" w:type="dxa"/>
            <w:tcBorders>
              <w:top w:val="single" w:color="auto" w:sz="4" w:space="0"/>
              <w:left w:val="single" w:color="auto" w:sz="4" w:space="0"/>
              <w:bottom w:val="single" w:color="auto" w:sz="4" w:space="0"/>
              <w:right w:val="single" w:color="auto" w:sz="4" w:space="0"/>
            </w:tcBorders>
            <w:vAlign w:val="center"/>
          </w:tcPr>
          <w:p w14:paraId="6A31300B">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14:paraId="3CFFBC75">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33335D08">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r>
      <w:tr w14:paraId="48D7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F67DEE4">
            <w:pPr>
              <w:pStyle w:val="79"/>
              <w:keepNext w:val="0"/>
              <w:keepLines w:val="0"/>
              <w:numPr>
                <w:ilvl w:val="0"/>
                <w:numId w:val="3"/>
              </w:numPr>
              <w:suppressLineNumbers w:val="0"/>
              <w:tabs>
                <w:tab w:val="left" w:pos="199"/>
              </w:tabs>
              <w:kinsoku/>
              <w:wordWrap w:val="0"/>
              <w:overflowPunct/>
              <w:bidi w:val="0"/>
              <w:spacing w:before="0" w:beforeAutospacing="0" w:after="0" w:afterAutospacing="0"/>
              <w:ind w:right="0"/>
              <w:jc w:val="center"/>
              <w:rPr>
                <w:rFonts w:hint="eastAsia" w:ascii="仿宋" w:hAnsi="仿宋" w:eastAsia="仿宋" w:cs="仿宋"/>
                <w:color w:val="auto"/>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00262DA5">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14:paraId="568DFCA2">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59" w:type="dxa"/>
            <w:tcBorders>
              <w:top w:val="single" w:color="auto" w:sz="4" w:space="0"/>
              <w:left w:val="single" w:color="auto" w:sz="4" w:space="0"/>
              <w:bottom w:val="single" w:color="auto" w:sz="4" w:space="0"/>
              <w:right w:val="single" w:color="auto" w:sz="4" w:space="0"/>
            </w:tcBorders>
            <w:vAlign w:val="center"/>
          </w:tcPr>
          <w:p w14:paraId="29A10335">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14:paraId="660F2866">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053A8902">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r>
      <w:tr w14:paraId="718A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F9A3229">
            <w:pPr>
              <w:pStyle w:val="79"/>
              <w:keepNext w:val="0"/>
              <w:keepLines w:val="0"/>
              <w:numPr>
                <w:ilvl w:val="0"/>
                <w:numId w:val="3"/>
              </w:numPr>
              <w:suppressLineNumbers w:val="0"/>
              <w:tabs>
                <w:tab w:val="left" w:pos="199"/>
              </w:tabs>
              <w:kinsoku/>
              <w:wordWrap w:val="0"/>
              <w:overflowPunct/>
              <w:bidi w:val="0"/>
              <w:spacing w:before="0" w:beforeAutospacing="0" w:after="0" w:afterAutospacing="0"/>
              <w:ind w:right="0"/>
              <w:jc w:val="center"/>
              <w:rPr>
                <w:rFonts w:hint="eastAsia" w:ascii="仿宋" w:hAnsi="仿宋" w:eastAsia="仿宋" w:cs="仿宋"/>
                <w:color w:val="auto"/>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3C709977">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14:paraId="78547A0D">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59" w:type="dxa"/>
            <w:tcBorders>
              <w:top w:val="single" w:color="auto" w:sz="4" w:space="0"/>
              <w:left w:val="single" w:color="auto" w:sz="4" w:space="0"/>
              <w:bottom w:val="single" w:color="auto" w:sz="4" w:space="0"/>
              <w:right w:val="single" w:color="auto" w:sz="4" w:space="0"/>
            </w:tcBorders>
            <w:vAlign w:val="center"/>
          </w:tcPr>
          <w:p w14:paraId="4796D98B">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14:paraId="4A5751C9">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17EE15B2">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r>
      <w:tr w14:paraId="3E42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A44151C">
            <w:pPr>
              <w:pStyle w:val="79"/>
              <w:keepNext w:val="0"/>
              <w:keepLines w:val="0"/>
              <w:numPr>
                <w:ilvl w:val="0"/>
                <w:numId w:val="3"/>
              </w:numPr>
              <w:suppressLineNumbers w:val="0"/>
              <w:tabs>
                <w:tab w:val="left" w:pos="199"/>
              </w:tabs>
              <w:kinsoku/>
              <w:wordWrap w:val="0"/>
              <w:overflowPunct/>
              <w:bidi w:val="0"/>
              <w:spacing w:before="0" w:beforeAutospacing="0" w:after="0" w:afterAutospacing="0"/>
              <w:ind w:right="0"/>
              <w:jc w:val="center"/>
              <w:rPr>
                <w:rFonts w:hint="eastAsia" w:ascii="仿宋" w:hAnsi="仿宋" w:eastAsia="仿宋" w:cs="仿宋"/>
                <w:color w:val="auto"/>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5FA7C2E8">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14:paraId="784395F2">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59" w:type="dxa"/>
            <w:tcBorders>
              <w:top w:val="single" w:color="auto" w:sz="4" w:space="0"/>
              <w:left w:val="single" w:color="auto" w:sz="4" w:space="0"/>
              <w:bottom w:val="single" w:color="auto" w:sz="4" w:space="0"/>
              <w:right w:val="single" w:color="auto" w:sz="4" w:space="0"/>
            </w:tcBorders>
            <w:vAlign w:val="center"/>
          </w:tcPr>
          <w:p w14:paraId="4681C52C">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14:paraId="0E1423AE">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26AD072A">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r>
      <w:tr w14:paraId="403E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DBC9C69">
            <w:pPr>
              <w:pStyle w:val="79"/>
              <w:keepNext w:val="0"/>
              <w:keepLines w:val="0"/>
              <w:numPr>
                <w:ilvl w:val="0"/>
                <w:numId w:val="3"/>
              </w:numPr>
              <w:suppressLineNumbers w:val="0"/>
              <w:tabs>
                <w:tab w:val="left" w:pos="199"/>
              </w:tabs>
              <w:kinsoku/>
              <w:wordWrap w:val="0"/>
              <w:overflowPunct/>
              <w:bidi w:val="0"/>
              <w:spacing w:before="0" w:beforeAutospacing="0" w:after="0" w:afterAutospacing="0"/>
              <w:ind w:right="0"/>
              <w:jc w:val="center"/>
              <w:rPr>
                <w:rFonts w:hint="eastAsia" w:ascii="仿宋" w:hAnsi="仿宋" w:eastAsia="仿宋" w:cs="仿宋"/>
                <w:color w:val="auto"/>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5C38CB2D">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14:paraId="0AFCFCA3">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59" w:type="dxa"/>
            <w:tcBorders>
              <w:top w:val="single" w:color="auto" w:sz="4" w:space="0"/>
              <w:left w:val="single" w:color="auto" w:sz="4" w:space="0"/>
              <w:bottom w:val="single" w:color="auto" w:sz="4" w:space="0"/>
              <w:right w:val="single" w:color="auto" w:sz="4" w:space="0"/>
            </w:tcBorders>
            <w:vAlign w:val="center"/>
          </w:tcPr>
          <w:p w14:paraId="71AC7ED6">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14:paraId="29019373">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6DDD34D5">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r>
      <w:tr w14:paraId="64A8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C35274D">
            <w:pPr>
              <w:pStyle w:val="79"/>
              <w:keepNext w:val="0"/>
              <w:keepLines w:val="0"/>
              <w:numPr>
                <w:ilvl w:val="0"/>
                <w:numId w:val="3"/>
              </w:numPr>
              <w:suppressLineNumbers w:val="0"/>
              <w:tabs>
                <w:tab w:val="left" w:pos="199"/>
              </w:tabs>
              <w:kinsoku/>
              <w:wordWrap w:val="0"/>
              <w:overflowPunct/>
              <w:bidi w:val="0"/>
              <w:spacing w:before="0" w:beforeAutospacing="0" w:after="0" w:afterAutospacing="0"/>
              <w:ind w:right="0"/>
              <w:jc w:val="center"/>
              <w:rPr>
                <w:rFonts w:hint="eastAsia" w:ascii="仿宋" w:hAnsi="仿宋" w:eastAsia="仿宋" w:cs="仿宋"/>
                <w:color w:val="auto"/>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41D80DD1">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14:paraId="4ABBB8EA">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59" w:type="dxa"/>
            <w:tcBorders>
              <w:top w:val="single" w:color="auto" w:sz="4" w:space="0"/>
              <w:left w:val="single" w:color="auto" w:sz="4" w:space="0"/>
              <w:bottom w:val="single" w:color="auto" w:sz="4" w:space="0"/>
              <w:right w:val="single" w:color="auto" w:sz="4" w:space="0"/>
            </w:tcBorders>
            <w:vAlign w:val="center"/>
          </w:tcPr>
          <w:p w14:paraId="60BA27DA">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14:paraId="3CE24BC7">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25CEF2CE">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r>
      <w:tr w14:paraId="45A0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133D6F6">
            <w:pPr>
              <w:pStyle w:val="79"/>
              <w:keepNext w:val="0"/>
              <w:keepLines w:val="0"/>
              <w:numPr>
                <w:ilvl w:val="0"/>
                <w:numId w:val="3"/>
              </w:numPr>
              <w:suppressLineNumbers w:val="0"/>
              <w:tabs>
                <w:tab w:val="left" w:pos="199"/>
              </w:tabs>
              <w:kinsoku/>
              <w:wordWrap w:val="0"/>
              <w:overflowPunct/>
              <w:bidi w:val="0"/>
              <w:spacing w:before="0" w:beforeAutospacing="0" w:after="0" w:afterAutospacing="0"/>
              <w:ind w:right="0"/>
              <w:jc w:val="center"/>
              <w:rPr>
                <w:rFonts w:hint="eastAsia" w:ascii="仿宋" w:hAnsi="仿宋" w:eastAsia="仿宋" w:cs="仿宋"/>
                <w:color w:val="auto"/>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60A336A6">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14:paraId="5AACBC44">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59" w:type="dxa"/>
            <w:tcBorders>
              <w:top w:val="single" w:color="auto" w:sz="4" w:space="0"/>
              <w:left w:val="single" w:color="auto" w:sz="4" w:space="0"/>
              <w:bottom w:val="single" w:color="auto" w:sz="4" w:space="0"/>
              <w:right w:val="single" w:color="auto" w:sz="4" w:space="0"/>
            </w:tcBorders>
            <w:vAlign w:val="center"/>
          </w:tcPr>
          <w:p w14:paraId="176AE169">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14:paraId="16A5D0C3">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155F601C">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r>
    </w:tbl>
    <w:p w14:paraId="30B44F0B">
      <w:pPr>
        <w:spacing w:line="36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注：本表后附评审所需证明材料。</w:t>
      </w:r>
    </w:p>
    <w:p w14:paraId="4E9DE125">
      <w:pPr>
        <w:spacing w:line="360" w:lineRule="auto"/>
        <w:jc w:val="center"/>
        <w:rPr>
          <w:rFonts w:hint="eastAsia" w:ascii="仿宋" w:hAnsi="仿宋" w:eastAsia="仿宋" w:cs="仿宋"/>
          <w:b/>
          <w:bCs/>
          <w:color w:val="auto"/>
          <w:sz w:val="28"/>
          <w:szCs w:val="28"/>
          <w:highlight w:val="none"/>
        </w:rPr>
      </w:pPr>
    </w:p>
    <w:p w14:paraId="7BE325C4">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03C5CA66">
      <w:pPr>
        <w:spacing w:line="360" w:lineRule="auto"/>
        <w:jc w:val="center"/>
        <w:rPr>
          <w:rFonts w:hint="eastAsia" w:ascii="仿宋" w:hAnsi="仿宋" w:eastAsia="仿宋" w:cs="仿宋"/>
          <w:b/>
          <w:bCs/>
          <w:color w:val="auto"/>
          <w:sz w:val="28"/>
          <w:szCs w:val="28"/>
          <w:highlight w:val="none"/>
        </w:rPr>
      </w:pPr>
    </w:p>
    <w:p w14:paraId="7C2B31B6">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8"/>
          <w:szCs w:val="28"/>
          <w:highlight w:val="none"/>
        </w:rPr>
        <w:t>评分所需或其他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认为须提交的资料</w:t>
      </w:r>
    </w:p>
    <w:p w14:paraId="2F45D5F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（注：所提交的复印件/打印件加盖</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公章。）</w:t>
      </w:r>
    </w:p>
    <w:p w14:paraId="1E329F23">
      <w:pPr>
        <w:spacing w:line="360" w:lineRule="auto"/>
        <w:rPr>
          <w:rFonts w:hint="eastAsia" w:ascii="仿宋" w:hAnsi="仿宋" w:eastAsia="仿宋" w:cs="仿宋"/>
          <w:color w:val="auto"/>
          <w:sz w:val="24"/>
          <w:highlight w:val="none"/>
        </w:rPr>
      </w:pPr>
    </w:p>
    <w:p w14:paraId="2D293E30">
      <w:pPr>
        <w:pStyle w:val="9"/>
        <w:rPr>
          <w:rFonts w:hint="eastAsia"/>
          <w:color w:val="auto"/>
          <w:highlight w:val="none"/>
        </w:rPr>
      </w:pPr>
    </w:p>
    <w:p w14:paraId="4C66BD3F">
      <w:pPr>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服务方案</w:t>
      </w:r>
    </w:p>
    <w:p w14:paraId="2A1C2D8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服务方案</w:t>
      </w:r>
      <w:r>
        <w:rPr>
          <w:rFonts w:hint="eastAsia" w:ascii="仿宋" w:hAnsi="仿宋" w:eastAsia="仿宋" w:cs="仿宋"/>
          <w:color w:val="auto"/>
          <w:sz w:val="24"/>
          <w:highlight w:val="none"/>
        </w:rPr>
        <w:t>根据服务部分评分的顺序及相应内容，结合</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实际能力进行编制。</w:t>
      </w:r>
    </w:p>
    <w:p w14:paraId="545532B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服务方案</w:t>
      </w:r>
      <w:r>
        <w:rPr>
          <w:rFonts w:hint="eastAsia" w:ascii="仿宋" w:hAnsi="仿宋" w:eastAsia="仿宋" w:cs="仿宋"/>
          <w:color w:val="auto"/>
          <w:sz w:val="24"/>
          <w:highlight w:val="none"/>
        </w:rPr>
        <w:t>必须科学合理、真实可行，能充分体现出自身专业优势。</w:t>
      </w:r>
    </w:p>
    <w:p w14:paraId="1587FD8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（格式自拟）</w:t>
      </w:r>
    </w:p>
    <w:p w14:paraId="2CA22423">
      <w:pPr>
        <w:wordWrap w:val="0"/>
        <w:adjustRightInd w:val="0"/>
        <w:snapToGrid w:val="0"/>
        <w:spacing w:line="360" w:lineRule="auto"/>
        <w:rPr>
          <w:rFonts w:hint="eastAsia" w:ascii="仿宋" w:hAnsi="仿宋" w:eastAsia="仿宋" w:cs="仿宋"/>
          <w:b/>
          <w:color w:val="auto"/>
          <w:sz w:val="28"/>
          <w:szCs w:val="28"/>
          <w:highlight w:val="none"/>
        </w:rPr>
      </w:pPr>
    </w:p>
    <w:p w14:paraId="554DFEB5">
      <w:pPr>
        <w:spacing w:line="360" w:lineRule="auto"/>
        <w:ind w:firstLine="562" w:firstLineChars="200"/>
        <w:textAlignment w:val="baseline"/>
        <w:rPr>
          <w:rFonts w:hint="eastAsia" w:ascii="仿宋" w:hAnsi="仿宋" w:eastAsia="仿宋" w:cs="仿宋"/>
          <w:color w:val="auto"/>
          <w:sz w:val="24"/>
          <w:highlight w:val="none"/>
        </w:rPr>
        <w:sectPr>
          <w:pgSz w:w="11906" w:h="16838"/>
          <w:pgMar w:top="1440" w:right="1474" w:bottom="1440" w:left="1417" w:header="850" w:footer="992" w:gutter="0"/>
          <w:pgNumType w:fmt="decimal"/>
          <w:cols w:space="720" w:num="1"/>
          <w:titlePg/>
          <w:docGrid w:type="lines" w:linePitch="317" w:charSpace="0"/>
        </w:sectPr>
      </w:pPr>
      <w:r>
        <w:rPr>
          <w:rFonts w:hint="eastAsia" w:ascii="仿宋" w:hAnsi="仿宋" w:eastAsia="仿宋" w:cs="仿宋"/>
          <w:b/>
          <w:color w:val="auto"/>
          <w:sz w:val="28"/>
          <w:szCs w:val="28"/>
          <w:highlight w:val="none"/>
        </w:rPr>
        <w:br w:type="page"/>
      </w:r>
    </w:p>
    <w:p w14:paraId="7A27C636">
      <w:pPr>
        <w:wordWrap w:val="0"/>
        <w:adjustRightInd w:val="0"/>
        <w:snapToGrid w:val="0"/>
        <w:rPr>
          <w:rFonts w:hint="eastAsia" w:ascii="仿宋" w:hAnsi="仿宋" w:eastAsia="仿宋" w:cs="仿宋"/>
          <w:color w:val="auto"/>
          <w:highlight w:val="none"/>
          <w:lang w:val="en-GB"/>
        </w:rPr>
      </w:pPr>
    </w:p>
    <w:p w14:paraId="0AB00DF0">
      <w:pPr>
        <w:pStyle w:val="2"/>
        <w:keepNext w:val="0"/>
        <w:keepLines w:val="0"/>
        <w:wordWrap w:val="0"/>
        <w:adjustRightInd w:val="0"/>
        <w:snapToGrid w:val="0"/>
        <w:spacing w:line="360" w:lineRule="auto"/>
        <w:jc w:val="both"/>
        <w:rPr>
          <w:rFonts w:hint="eastAsia" w:ascii="仿宋" w:hAnsi="仿宋" w:eastAsia="仿宋" w:cs="仿宋"/>
          <w:color w:val="auto"/>
          <w:sz w:val="44"/>
          <w:highlight w:val="none"/>
        </w:rPr>
      </w:pPr>
      <w:bookmarkStart w:id="90" w:name="_Toc2984"/>
      <w:bookmarkStart w:id="91" w:name="_Toc6893"/>
      <w:bookmarkStart w:id="92" w:name="_Toc7022"/>
      <w:bookmarkStart w:id="93" w:name="_Toc6208"/>
      <w:bookmarkStart w:id="94" w:name="_Toc12232"/>
      <w:bookmarkStart w:id="95" w:name="_Toc6944"/>
      <w:bookmarkStart w:id="96" w:name="_Toc28060"/>
      <w:r>
        <w:rPr>
          <w:rFonts w:hint="eastAsia" w:ascii="仿宋" w:hAnsi="仿宋" w:eastAsia="仿宋" w:cs="仿宋"/>
          <w:color w:val="auto"/>
          <w:kern w:val="0"/>
          <w:szCs w:val="36"/>
          <w:highlight w:val="none"/>
        </w:rPr>
        <w:t>附件一 评审细则</w:t>
      </w:r>
      <w:bookmarkEnd w:id="90"/>
      <w:bookmarkEnd w:id="91"/>
      <w:bookmarkEnd w:id="92"/>
      <w:bookmarkEnd w:id="93"/>
      <w:bookmarkEnd w:id="94"/>
      <w:bookmarkEnd w:id="95"/>
      <w:bookmarkEnd w:id="96"/>
    </w:p>
    <w:p w14:paraId="2D2B7129">
      <w:pPr>
        <w:wordWrap w:val="0"/>
        <w:adjustRightInd w:val="0"/>
        <w:snapToGrid w:val="0"/>
        <w:spacing w:line="360" w:lineRule="auto"/>
        <w:rPr>
          <w:rFonts w:hint="eastAsia" w:ascii="仿宋" w:hAnsi="仿宋" w:eastAsia="仿宋" w:cs="仿宋"/>
          <w:b/>
          <w:color w:val="auto"/>
          <w:sz w:val="52"/>
          <w:highlight w:val="none"/>
        </w:rPr>
      </w:pPr>
    </w:p>
    <w:p w14:paraId="7030D914">
      <w:pPr>
        <w:wordWrap w:val="0"/>
        <w:adjustRightInd w:val="0"/>
        <w:snapToGrid w:val="0"/>
        <w:spacing w:line="360" w:lineRule="auto"/>
        <w:rPr>
          <w:rFonts w:hint="eastAsia" w:ascii="仿宋" w:hAnsi="仿宋" w:eastAsia="仿宋" w:cs="仿宋"/>
          <w:b/>
          <w:color w:val="auto"/>
          <w:sz w:val="44"/>
          <w:highlight w:val="none"/>
        </w:rPr>
      </w:pPr>
    </w:p>
    <w:p w14:paraId="145BAAB1">
      <w:pPr>
        <w:wordWrap w:val="0"/>
        <w:adjustRightInd w:val="0"/>
        <w:snapToGrid w:val="0"/>
        <w:spacing w:before="240" w:line="360" w:lineRule="auto"/>
        <w:ind w:firstLine="2523" w:firstLineChars="349"/>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评审细则</w:t>
      </w:r>
    </w:p>
    <w:p w14:paraId="0C4B7DE6">
      <w:pPr>
        <w:wordWrap w:val="0"/>
        <w:adjustRightInd w:val="0"/>
        <w:snapToGrid w:val="0"/>
        <w:spacing w:before="240" w:line="360" w:lineRule="auto"/>
        <w:rPr>
          <w:rFonts w:hint="eastAsia" w:ascii="仿宋" w:hAnsi="仿宋" w:eastAsia="仿宋" w:cs="仿宋"/>
          <w:b/>
          <w:color w:val="auto"/>
          <w:sz w:val="36"/>
          <w:highlight w:val="none"/>
        </w:rPr>
      </w:pPr>
    </w:p>
    <w:p w14:paraId="54662823">
      <w:pPr>
        <w:wordWrap w:val="0"/>
        <w:adjustRightInd w:val="0"/>
        <w:snapToGrid w:val="0"/>
        <w:spacing w:before="240" w:line="360" w:lineRule="auto"/>
        <w:ind w:left="0" w:leftChars="0" w:firstLine="842" w:firstLineChars="233"/>
        <w:rPr>
          <w:rFonts w:hint="eastAsia" w:ascii="仿宋" w:hAnsi="仿宋" w:eastAsia="仿宋" w:cs="仿宋"/>
          <w:b/>
          <w:color w:val="auto"/>
          <w:sz w:val="36"/>
          <w:highlight w:val="none"/>
          <w:u w:val="single"/>
          <w:lang w:eastAsia="zh-CN"/>
        </w:rPr>
      </w:pPr>
      <w:r>
        <w:rPr>
          <w:rFonts w:hint="eastAsia" w:ascii="仿宋" w:hAnsi="仿宋" w:eastAsia="仿宋" w:cs="仿宋"/>
          <w:b/>
          <w:color w:val="auto"/>
          <w:sz w:val="36"/>
          <w:highlight w:val="none"/>
        </w:rPr>
        <w:t>项目编号：</w:t>
      </w:r>
      <w:r>
        <w:rPr>
          <w:rFonts w:hint="eastAsia" w:ascii="仿宋" w:hAnsi="仿宋" w:eastAsia="仿宋" w:cs="仿宋"/>
          <w:b/>
          <w:color w:val="auto"/>
          <w:sz w:val="36"/>
          <w:highlight w:val="none"/>
          <w:u w:val="single"/>
          <w:lang w:eastAsia="zh-CN"/>
        </w:rPr>
        <w:t xml:space="preserve">JG       </w:t>
      </w:r>
    </w:p>
    <w:p w14:paraId="6D3F3A96">
      <w:pPr>
        <w:wordWrap w:val="0"/>
        <w:adjustRightInd w:val="0"/>
        <w:snapToGrid w:val="0"/>
        <w:spacing w:line="360" w:lineRule="auto"/>
        <w:ind w:left="0" w:leftChars="0" w:firstLine="842" w:firstLineChars="233"/>
        <w:rPr>
          <w:rFonts w:hint="eastAsia" w:ascii="仿宋" w:hAnsi="仿宋" w:eastAsia="仿宋" w:cs="仿宋"/>
          <w:b/>
          <w:color w:val="auto"/>
          <w:sz w:val="36"/>
          <w:highlight w:val="none"/>
        </w:rPr>
      </w:pPr>
    </w:p>
    <w:p w14:paraId="32FF50D7">
      <w:pPr>
        <w:wordWrap w:val="0"/>
        <w:adjustRightInd w:val="0"/>
        <w:snapToGrid w:val="0"/>
        <w:spacing w:line="360" w:lineRule="auto"/>
        <w:ind w:left="0" w:leftChars="0" w:right="376" w:rightChars="179" w:firstLine="842" w:firstLineChars="233"/>
        <w:rPr>
          <w:rFonts w:hint="eastAsia" w:ascii="仿宋" w:hAnsi="仿宋" w:eastAsia="仿宋" w:cs="仿宋"/>
          <w:b/>
          <w:color w:val="auto"/>
          <w:sz w:val="36"/>
          <w:highlight w:val="none"/>
          <w:u w:val="single"/>
          <w:lang w:eastAsia="zh-CN"/>
        </w:rPr>
      </w:pPr>
      <w:r>
        <w:rPr>
          <w:rFonts w:hint="eastAsia" w:ascii="仿宋" w:hAnsi="仿宋" w:eastAsia="仿宋" w:cs="仿宋"/>
          <w:b/>
          <w:color w:val="auto"/>
          <w:sz w:val="36"/>
          <w:highlight w:val="none"/>
        </w:rPr>
        <w:t>项目名称：</w:t>
      </w:r>
      <w:r>
        <w:rPr>
          <w:rFonts w:hint="eastAsia" w:ascii="仿宋" w:hAnsi="仿宋" w:eastAsia="仿宋" w:cs="仿宋"/>
          <w:b/>
          <w:color w:val="auto"/>
          <w:sz w:val="36"/>
          <w:highlight w:val="none"/>
          <w:u w:val="single"/>
          <w:lang w:eastAsia="zh-CN"/>
        </w:rPr>
        <w:t>桂城街道叠北社区市政管理一体化服务</w:t>
      </w:r>
    </w:p>
    <w:p w14:paraId="104DDA72">
      <w:pPr>
        <w:wordWrap w:val="0"/>
        <w:adjustRightInd w:val="0"/>
        <w:snapToGrid w:val="0"/>
        <w:spacing w:line="360" w:lineRule="auto"/>
        <w:rPr>
          <w:rFonts w:hint="eastAsia" w:ascii="仿宋" w:hAnsi="仿宋" w:eastAsia="仿宋" w:cs="仿宋"/>
          <w:b/>
          <w:color w:val="auto"/>
          <w:sz w:val="32"/>
          <w:highlight w:val="none"/>
        </w:rPr>
      </w:pPr>
    </w:p>
    <w:p w14:paraId="02AB303B">
      <w:pPr>
        <w:wordWrap w:val="0"/>
        <w:adjustRightInd w:val="0"/>
        <w:snapToGrid w:val="0"/>
        <w:spacing w:line="360" w:lineRule="auto"/>
        <w:rPr>
          <w:rFonts w:hint="eastAsia" w:ascii="仿宋" w:hAnsi="仿宋" w:eastAsia="仿宋" w:cs="仿宋"/>
          <w:b/>
          <w:color w:val="auto"/>
          <w:sz w:val="32"/>
          <w:highlight w:val="none"/>
        </w:rPr>
      </w:pPr>
    </w:p>
    <w:p w14:paraId="499839AF">
      <w:pPr>
        <w:pStyle w:val="7"/>
        <w:wordWrap w:val="0"/>
        <w:adjustRightInd w:val="0"/>
        <w:snapToGrid w:val="0"/>
        <w:spacing w:line="360" w:lineRule="auto"/>
        <w:ind w:firstLine="0"/>
        <w:rPr>
          <w:rFonts w:hint="eastAsia" w:ascii="仿宋" w:hAnsi="仿宋" w:eastAsia="仿宋" w:cs="仿宋"/>
          <w:color w:val="auto"/>
          <w:sz w:val="24"/>
          <w:highlight w:val="none"/>
        </w:rPr>
      </w:pPr>
    </w:p>
    <w:p w14:paraId="0F0F919A">
      <w:pPr>
        <w:pStyle w:val="6"/>
        <w:tabs>
          <w:tab w:val="left" w:pos="426"/>
          <w:tab w:val="left" w:pos="482"/>
        </w:tabs>
        <w:wordWrap w:val="0"/>
        <w:spacing w:line="360" w:lineRule="auto"/>
        <w:ind w:left="0" w:leftChars="0" w:firstLine="419" w:firstLineChars="116"/>
        <w:rPr>
          <w:rFonts w:hint="eastAsia" w:ascii="仿宋" w:hAnsi="仿宋" w:eastAsia="仿宋" w:cs="仿宋"/>
          <w:b/>
          <w:bCs/>
          <w:color w:val="auto"/>
          <w:sz w:val="24"/>
          <w:szCs w:val="24"/>
          <w:highlight w:val="none"/>
          <w:lang w:val="en-GB"/>
        </w:rPr>
      </w:pPr>
      <w:bookmarkStart w:id="97" w:name="_Toc30317"/>
      <w:bookmarkStart w:id="98" w:name="_Toc12221"/>
      <w:bookmarkStart w:id="99" w:name="_Toc26538"/>
      <w:bookmarkStart w:id="100" w:name="_Toc10844"/>
      <w:bookmarkStart w:id="101" w:name="_Toc22806"/>
      <w:bookmarkStart w:id="102" w:name="_Toc13100"/>
      <w:r>
        <w:rPr>
          <w:rFonts w:hint="eastAsia" w:ascii="仿宋" w:hAnsi="仿宋" w:eastAsia="仿宋" w:cs="仿宋"/>
          <w:b/>
          <w:bCs/>
          <w:color w:val="auto"/>
          <w:kern w:val="0"/>
          <w:sz w:val="36"/>
          <w:szCs w:val="36"/>
          <w:highlight w:val="none"/>
        </w:rPr>
        <w:br w:type="page"/>
      </w:r>
      <w:r>
        <w:rPr>
          <w:rFonts w:hint="eastAsia" w:ascii="仿宋" w:hAnsi="仿宋" w:eastAsia="仿宋" w:cs="仿宋"/>
          <w:b/>
          <w:bCs/>
          <w:color w:val="auto"/>
          <w:sz w:val="24"/>
          <w:szCs w:val="24"/>
          <w:highlight w:val="none"/>
          <w:lang w:val="en-GB"/>
        </w:rPr>
        <w:t>一、评标方法</w:t>
      </w:r>
    </w:p>
    <w:p w14:paraId="52254E18">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本项目评标方法为采用综合评分法,是指</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满足</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全部实质性要求，且按照评审因素的量化指标评审得分最高的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为</w:t>
      </w:r>
      <w:r>
        <w:rPr>
          <w:rFonts w:hint="eastAsia" w:ascii="仿宋" w:hAnsi="仿宋" w:eastAsia="仿宋" w:cs="仿宋"/>
          <w:color w:val="auto"/>
          <w:sz w:val="24"/>
          <w:szCs w:val="24"/>
          <w:highlight w:val="none"/>
          <w:lang w:val="en-GB" w:eastAsia="zh-CN"/>
        </w:rPr>
        <w:t>中标候选人</w:t>
      </w:r>
      <w:r>
        <w:rPr>
          <w:rFonts w:hint="eastAsia" w:ascii="仿宋" w:hAnsi="仿宋" w:eastAsia="仿宋" w:cs="仿宋"/>
          <w:color w:val="auto"/>
          <w:sz w:val="24"/>
          <w:szCs w:val="24"/>
          <w:highlight w:val="none"/>
          <w:lang w:val="en-GB"/>
        </w:rPr>
        <w:t>的评标方法。（最低报价不是中标的唯一依据。）</w:t>
      </w:r>
    </w:p>
    <w:p w14:paraId="71E83EBA">
      <w:pPr>
        <w:pStyle w:val="6"/>
        <w:tabs>
          <w:tab w:val="left" w:pos="426"/>
          <w:tab w:val="left" w:pos="482"/>
        </w:tabs>
        <w:wordWrap w:val="0"/>
        <w:spacing w:line="360" w:lineRule="auto"/>
        <w:ind w:firstLine="482" w:firstLineChars="200"/>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lang w:val="en-GB"/>
        </w:rPr>
        <w:t>二、评审流程</w:t>
      </w:r>
    </w:p>
    <w:p w14:paraId="30D0922F">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1、评审流程主要为资格性审查、符合性审查、详细评审。评标委员会按照</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确定的评标方法、步骤、标准，对</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进行评审。评标结束后，对</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的评审名次进行排序，确定</w:t>
      </w:r>
      <w:r>
        <w:rPr>
          <w:rFonts w:hint="eastAsia" w:ascii="仿宋" w:hAnsi="仿宋" w:eastAsia="仿宋" w:cs="仿宋"/>
          <w:color w:val="auto"/>
          <w:sz w:val="24"/>
          <w:szCs w:val="24"/>
          <w:highlight w:val="none"/>
          <w:lang w:val="en-GB" w:eastAsia="zh-CN"/>
        </w:rPr>
        <w:t>中标人</w:t>
      </w:r>
      <w:r>
        <w:rPr>
          <w:rFonts w:hint="eastAsia" w:ascii="仿宋" w:hAnsi="仿宋" w:eastAsia="仿宋" w:cs="仿宋"/>
          <w:color w:val="auto"/>
          <w:sz w:val="24"/>
          <w:szCs w:val="24"/>
          <w:highlight w:val="none"/>
          <w:lang w:val="en-GB"/>
        </w:rPr>
        <w:t>或者推荐</w:t>
      </w:r>
      <w:r>
        <w:rPr>
          <w:rFonts w:hint="eastAsia" w:ascii="仿宋" w:hAnsi="仿宋" w:eastAsia="仿宋" w:cs="仿宋"/>
          <w:color w:val="auto"/>
          <w:sz w:val="24"/>
          <w:szCs w:val="24"/>
          <w:highlight w:val="none"/>
          <w:lang w:val="en-GB" w:eastAsia="zh-CN"/>
        </w:rPr>
        <w:t>中标候选人</w:t>
      </w:r>
      <w:r>
        <w:rPr>
          <w:rFonts w:hint="eastAsia" w:ascii="仿宋" w:hAnsi="仿宋" w:eastAsia="仿宋" w:cs="仿宋"/>
          <w:color w:val="auto"/>
          <w:sz w:val="24"/>
          <w:szCs w:val="24"/>
          <w:highlight w:val="none"/>
          <w:lang w:val="en-GB"/>
        </w:rPr>
        <w:t>。</w:t>
      </w:r>
    </w:p>
    <w:p w14:paraId="6A43AFCC">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2、评标委员会发现</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存在歧义、重大缺陷导致评标工作无法进行，或者</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内容违反国家有关强制性规定的，应当停止评标工作，与</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沟通并作书面记录。</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确认后，应当修改</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，重新组织</w:t>
      </w:r>
      <w:r>
        <w:rPr>
          <w:rFonts w:hint="eastAsia" w:ascii="仿宋" w:hAnsi="仿宋" w:eastAsia="仿宋" w:cs="仿宋"/>
          <w:color w:val="auto"/>
          <w:sz w:val="24"/>
          <w:szCs w:val="24"/>
          <w:highlight w:val="none"/>
          <w:lang w:val="en-GB" w:eastAsia="zh-CN"/>
        </w:rPr>
        <w:t>采购活动</w:t>
      </w:r>
      <w:r>
        <w:rPr>
          <w:rFonts w:hint="eastAsia" w:ascii="仿宋" w:hAnsi="仿宋" w:eastAsia="仿宋" w:cs="仿宋"/>
          <w:color w:val="auto"/>
          <w:sz w:val="24"/>
          <w:szCs w:val="24"/>
          <w:highlight w:val="none"/>
          <w:lang w:val="en-GB"/>
        </w:rPr>
        <w:t>。</w:t>
      </w:r>
    </w:p>
    <w:p w14:paraId="7C9D6F97">
      <w:pPr>
        <w:pStyle w:val="6"/>
        <w:tabs>
          <w:tab w:val="left" w:pos="426"/>
          <w:tab w:val="left" w:pos="482"/>
        </w:tabs>
        <w:wordWrap w:val="0"/>
        <w:spacing w:line="360" w:lineRule="auto"/>
        <w:ind w:firstLine="482" w:firstLineChars="200"/>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lang w:val="en-GB"/>
        </w:rPr>
        <w:t>三、评审具体要求</w:t>
      </w:r>
    </w:p>
    <w:p w14:paraId="5A3F906D">
      <w:pPr>
        <w:pStyle w:val="6"/>
        <w:tabs>
          <w:tab w:val="left" w:pos="426"/>
          <w:tab w:val="left" w:pos="482"/>
        </w:tabs>
        <w:wordWrap w:val="0"/>
        <w:spacing w:line="360" w:lineRule="auto"/>
        <w:ind w:firstLine="482" w:firstLineChars="200"/>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lang w:val="en-GB"/>
        </w:rPr>
        <w:t>1、资格性审查和符合性审查</w:t>
      </w:r>
    </w:p>
    <w:p w14:paraId="028ED747">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（1）资格性审查。</w:t>
      </w:r>
      <w:r>
        <w:rPr>
          <w:rFonts w:hint="eastAsia" w:ascii="仿宋" w:hAnsi="仿宋" w:eastAsia="仿宋" w:cs="仿宋"/>
          <w:color w:val="auto"/>
          <w:sz w:val="24"/>
          <w:szCs w:val="24"/>
          <w:highlight w:val="none"/>
          <w:lang w:val="en-GB" w:eastAsia="zh-CN"/>
        </w:rPr>
        <w:t>公开招标采购项目</w:t>
      </w:r>
      <w:r>
        <w:rPr>
          <w:rFonts w:hint="eastAsia" w:ascii="仿宋" w:hAnsi="仿宋" w:eastAsia="仿宋" w:cs="仿宋"/>
          <w:color w:val="auto"/>
          <w:sz w:val="24"/>
          <w:szCs w:val="24"/>
          <w:highlight w:val="none"/>
          <w:lang w:val="en-GB"/>
        </w:rPr>
        <w:t>开标结束后，评标委员会应当依法对</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的资格进行审查，以确定</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是否具备</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资格。（具体评审内容详见《附件1 资格审查标准》）</w:t>
      </w:r>
    </w:p>
    <w:p w14:paraId="58574A86">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（2）符合性审查。评标委员会依据</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的规定，从</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的有效性、完整性和对</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的响应程度进行审查，以确定是否对</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的实质性要求作出响应。（具体评审内容详见《附件2 符合性审查标准》）</w:t>
      </w:r>
    </w:p>
    <w:p w14:paraId="13A7AD1F">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（3）资格性审查和符合性审查中凡有其中任意一项未通过的，评审结果为未通过，未通过资格性审查、符合性审查的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按无效</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处理。</w:t>
      </w:r>
    </w:p>
    <w:p w14:paraId="334B7DDD">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（4）对各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进行资格审查和符合性审查过程中，对初步被认定为无效</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者，由评标委员会组长或</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代表将集体意见及时告知</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当事人。</w:t>
      </w:r>
    </w:p>
    <w:p w14:paraId="645B80F8">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 （5）评标委员会认为</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的报价明显低于其他通过符合性审查</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的报价，有可能影响产品质量或者不能诚信履约的，应当要求其在评标现场合理的时间内提供书面说明，必要时提交相关证明材料；</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不能证明其报价合理性的，评标委员会应当将其作为无效</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处理。</w:t>
      </w:r>
    </w:p>
    <w:p w14:paraId="481DE9D1">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（6）合格</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不足3家的，不得评标。</w:t>
      </w:r>
    </w:p>
    <w:p w14:paraId="1B90E85D">
      <w:pPr>
        <w:pStyle w:val="6"/>
        <w:tabs>
          <w:tab w:val="left" w:pos="426"/>
          <w:tab w:val="left" w:pos="482"/>
        </w:tabs>
        <w:wordWrap w:val="0"/>
        <w:spacing w:line="360" w:lineRule="auto"/>
        <w:ind w:firstLine="482" w:firstLineChars="200"/>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lang w:val="en-GB"/>
        </w:rPr>
        <w:t>2、无效</w:t>
      </w:r>
      <w:r>
        <w:rPr>
          <w:rFonts w:hint="eastAsia" w:ascii="仿宋" w:hAnsi="仿宋" w:eastAsia="仿宋" w:cs="仿宋"/>
          <w:b/>
          <w:bCs/>
          <w:color w:val="auto"/>
          <w:sz w:val="24"/>
          <w:szCs w:val="24"/>
          <w:highlight w:val="none"/>
          <w:lang w:val="en-GB" w:eastAsia="zh-CN"/>
        </w:rPr>
        <w:t>投标</w:t>
      </w:r>
      <w:r>
        <w:rPr>
          <w:rFonts w:hint="eastAsia" w:ascii="仿宋" w:hAnsi="仿宋" w:eastAsia="仿宋" w:cs="仿宋"/>
          <w:b/>
          <w:bCs/>
          <w:color w:val="auto"/>
          <w:sz w:val="24"/>
          <w:szCs w:val="24"/>
          <w:highlight w:val="none"/>
          <w:lang w:val="en-GB"/>
        </w:rPr>
        <w:t>行为的认定</w:t>
      </w:r>
    </w:p>
    <w:p w14:paraId="18A0EE0A">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(1)未按照</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的规定提交</w:t>
      </w:r>
      <w:r>
        <w:rPr>
          <w:rFonts w:hint="eastAsia" w:ascii="仿宋" w:hAnsi="仿宋" w:eastAsia="仿宋" w:cs="仿宋"/>
          <w:color w:val="auto"/>
          <w:sz w:val="24"/>
          <w:szCs w:val="24"/>
          <w:highlight w:val="none"/>
          <w:lang w:val="en-GB" w:eastAsia="zh-CN"/>
        </w:rPr>
        <w:t>投标保证金</w:t>
      </w:r>
      <w:r>
        <w:rPr>
          <w:rFonts w:hint="eastAsia" w:ascii="仿宋" w:hAnsi="仿宋" w:eastAsia="仿宋" w:cs="仿宋"/>
          <w:color w:val="auto"/>
          <w:sz w:val="24"/>
          <w:szCs w:val="24"/>
          <w:highlight w:val="none"/>
          <w:lang w:val="en-GB"/>
        </w:rPr>
        <w:t>的；</w:t>
      </w:r>
    </w:p>
    <w:p w14:paraId="1E64062F">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未按照</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要求进行签署、盖章的；</w:t>
      </w:r>
    </w:p>
    <w:p w14:paraId="4FAC12CC">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GB"/>
        </w:rPr>
        <w:t>)评标期间，</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没有按评标委员会的要求提交法定代表人或其委托代理人签字的澄清、说明、补正或改变了</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的实质性内容的。</w:t>
      </w:r>
    </w:p>
    <w:p w14:paraId="3BB98F29">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提供虚假材料的。</w:t>
      </w:r>
    </w:p>
    <w:p w14:paraId="4EB8005C">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以他人名义</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、以行贿手段谋取中标或者以其他弄虚作假方式</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的。</w:t>
      </w:r>
    </w:p>
    <w:p w14:paraId="3FD421DB">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GB"/>
        </w:rPr>
        <w:t>)有下列情形之一的，视为</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串通</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，其</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无效；</w:t>
      </w:r>
    </w:p>
    <w:p w14:paraId="06626BBD">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①　不同</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由同一单位或者个人编制；</w:t>
      </w:r>
    </w:p>
    <w:p w14:paraId="6D4F4045">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②　不同</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委托同一单位或者个人办理</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事宜；</w:t>
      </w:r>
    </w:p>
    <w:p w14:paraId="444212FD">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③　不同</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载明的项目管理成员或者联系人员为同一人；</w:t>
      </w:r>
    </w:p>
    <w:p w14:paraId="05B2B56D">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④　不同</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异常一致或者</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报价呈规律性差异；</w:t>
      </w:r>
    </w:p>
    <w:p w14:paraId="6C035AC2">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⑤　不同</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相互混装；</w:t>
      </w:r>
    </w:p>
    <w:p w14:paraId="6574FD83">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⑥不同</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w:t>
      </w:r>
      <w:r>
        <w:rPr>
          <w:rFonts w:hint="eastAsia" w:ascii="仿宋" w:hAnsi="仿宋" w:eastAsia="仿宋" w:cs="仿宋"/>
          <w:color w:val="auto"/>
          <w:sz w:val="24"/>
          <w:szCs w:val="24"/>
          <w:highlight w:val="none"/>
          <w:lang w:val="en-GB" w:eastAsia="zh-CN"/>
        </w:rPr>
        <w:t>投标保证金</w:t>
      </w:r>
      <w:r>
        <w:rPr>
          <w:rFonts w:hint="eastAsia" w:ascii="仿宋" w:hAnsi="仿宋" w:eastAsia="仿宋" w:cs="仿宋"/>
          <w:color w:val="auto"/>
          <w:sz w:val="24"/>
          <w:szCs w:val="24"/>
          <w:highlight w:val="none"/>
          <w:lang w:val="en-GB"/>
        </w:rPr>
        <w:t>从同一单位或者个人的账户转出。</w:t>
      </w:r>
    </w:p>
    <w:p w14:paraId="6852C343">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说明：在评标过程中发现</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有上述情形的，评标委员会应当认定其</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无效。同时，项目评审时被认定为串通</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不得参加该合同项下的</w:t>
      </w:r>
      <w:r>
        <w:rPr>
          <w:rFonts w:hint="eastAsia" w:ascii="仿宋" w:hAnsi="仿宋" w:eastAsia="仿宋" w:cs="仿宋"/>
          <w:color w:val="auto"/>
          <w:sz w:val="24"/>
          <w:szCs w:val="24"/>
          <w:highlight w:val="none"/>
          <w:lang w:val="en-GB" w:eastAsia="zh-CN"/>
        </w:rPr>
        <w:t>采购活动</w:t>
      </w:r>
      <w:r>
        <w:rPr>
          <w:rFonts w:hint="eastAsia" w:ascii="仿宋" w:hAnsi="仿宋" w:eastAsia="仿宋" w:cs="仿宋"/>
          <w:color w:val="auto"/>
          <w:sz w:val="24"/>
          <w:szCs w:val="24"/>
          <w:highlight w:val="none"/>
          <w:lang w:val="en-GB"/>
        </w:rPr>
        <w:t>。</w:t>
      </w:r>
    </w:p>
    <w:p w14:paraId="430B5F0A">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对</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、评标委员会及其工作人员施加影响，有碍</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val="en-GB"/>
        </w:rPr>
        <w:t>公平、公正的。</w:t>
      </w:r>
    </w:p>
    <w:p w14:paraId="07C4585B">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含有</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不能接受的附加条件的。</w:t>
      </w:r>
    </w:p>
    <w:p w14:paraId="110072AB">
      <w:pPr>
        <w:pStyle w:val="6"/>
        <w:tabs>
          <w:tab w:val="left" w:pos="426"/>
          <w:tab w:val="left" w:pos="482"/>
        </w:tabs>
        <w:wordWrap w:val="0"/>
        <w:spacing w:line="360" w:lineRule="auto"/>
        <w:ind w:firstLine="482" w:firstLineChars="200"/>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lang w:val="en-GB"/>
        </w:rPr>
        <w:t>3、</w:t>
      </w:r>
      <w:r>
        <w:rPr>
          <w:rFonts w:hint="eastAsia" w:ascii="仿宋" w:hAnsi="仿宋" w:eastAsia="仿宋" w:cs="仿宋"/>
          <w:b/>
          <w:bCs/>
          <w:color w:val="auto"/>
          <w:sz w:val="24"/>
          <w:szCs w:val="24"/>
          <w:highlight w:val="none"/>
          <w:lang w:val="en-GB" w:eastAsia="zh-CN"/>
        </w:rPr>
        <w:t>投标文件</w:t>
      </w:r>
      <w:r>
        <w:rPr>
          <w:rFonts w:hint="eastAsia" w:ascii="仿宋" w:hAnsi="仿宋" w:eastAsia="仿宋" w:cs="仿宋"/>
          <w:b/>
          <w:bCs/>
          <w:color w:val="auto"/>
          <w:sz w:val="24"/>
          <w:szCs w:val="24"/>
          <w:highlight w:val="none"/>
          <w:lang w:val="en-GB"/>
        </w:rPr>
        <w:t>澄清</w:t>
      </w:r>
    </w:p>
    <w:p w14:paraId="36993395">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（1）对于</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中含义不明确、同类问题表述不一致或者有明显文字和计算错误的内容，评标委员会应当以书面形式要求</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作出必要的澄清、说明或者补正。</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的澄清、说明或者补正应当采用书面形式，并加盖公章，或者由法定代表人或其授权的代表签字。</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的澄清、说明或者补正不得超出</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的范围或者改变</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的实质性内容。</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的澄清文件是其</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 xml:space="preserve">的组成部分。 </w:t>
      </w:r>
    </w:p>
    <w:p w14:paraId="5F6E8FC2">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（2）评标委员会不接受</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主动提出的澄清、说明或补正。</w:t>
      </w:r>
    </w:p>
    <w:p w14:paraId="7E077EF1">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（3）评标委员会对</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提交的澄清、说明或补正有疑问的，可以要求</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进一步澄清、说明或补正。</w:t>
      </w:r>
    </w:p>
    <w:p w14:paraId="29EB1865">
      <w:pPr>
        <w:pStyle w:val="6"/>
        <w:tabs>
          <w:tab w:val="left" w:pos="426"/>
          <w:tab w:val="left" w:pos="482"/>
        </w:tabs>
        <w:wordWrap w:val="0"/>
        <w:spacing w:line="360" w:lineRule="auto"/>
        <w:ind w:firstLine="482" w:firstLineChars="200"/>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lang w:val="en-GB"/>
        </w:rPr>
        <w:t>4、价格修正</w:t>
      </w:r>
    </w:p>
    <w:p w14:paraId="64374DE7">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对报价的计算错误按以下原则修正：</w:t>
      </w:r>
    </w:p>
    <w:p w14:paraId="49455150">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中开标一览表内容与</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中相应内容不一致的，以开标一览表为准；</w:t>
      </w:r>
    </w:p>
    <w:p w14:paraId="71FE5381">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（2）大写金额和小写金额不一致的，以大写金额为准；</w:t>
      </w:r>
    </w:p>
    <w:p w14:paraId="15DBB69D">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（3）单价金额小数点或者百分比有明显错位的，以开标一览表的总价为准，并修改单价。</w:t>
      </w:r>
    </w:p>
    <w:p w14:paraId="1F0BC793">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（4）总价金额与按单价汇总金额不一致的，以单价金额计算结果为准。但是单价金额计算结果超过预算价的，对其按无效</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处理。</w:t>
      </w:r>
    </w:p>
    <w:p w14:paraId="4FB6E7AE">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 注：同时出现两种以上不一致的，按照前款规定的顺序进行价格澄清。</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的澄清应当采用书面形式，并加盖公章，或者由法定代表人或其授权的代表签字。澄清后的价格</w:t>
      </w:r>
      <w:r>
        <w:rPr>
          <w:rFonts w:hint="eastAsia" w:ascii="仿宋" w:hAnsi="仿宋" w:eastAsia="仿宋" w:cs="仿宋"/>
          <w:color w:val="auto"/>
          <w:sz w:val="24"/>
          <w:szCs w:val="24"/>
          <w:highlight w:val="none"/>
        </w:rPr>
        <w:t>经</w:t>
      </w:r>
      <w:r>
        <w:rPr>
          <w:rFonts w:hint="eastAsia" w:ascii="仿宋" w:hAnsi="仿宋" w:eastAsia="仿宋" w:cs="仿宋"/>
          <w:color w:val="auto"/>
          <w:sz w:val="24"/>
          <w:szCs w:val="24"/>
          <w:highlight w:val="none"/>
          <w:lang w:val="en-GB"/>
        </w:rPr>
        <w:t>确认后产生约束力，但不得超出</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的范围或者改变</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的实质性内容，</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不确认的，其</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无效。</w:t>
      </w:r>
    </w:p>
    <w:p w14:paraId="0CD8D1E0">
      <w:pPr>
        <w:pStyle w:val="6"/>
        <w:tabs>
          <w:tab w:val="left" w:pos="426"/>
          <w:tab w:val="left" w:pos="482"/>
        </w:tabs>
        <w:wordWrap w:val="0"/>
        <w:spacing w:line="360" w:lineRule="auto"/>
        <w:ind w:firstLine="482" w:firstLineChars="200"/>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lang w:val="en-GB"/>
        </w:rPr>
        <w:t>5、详细评审</w:t>
      </w:r>
    </w:p>
    <w:p w14:paraId="50A4256B">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评标委员会对符合性审查合格的</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进行技术、商务评估，综合比较与评价。具体技术、商务、价格部分的评审因素详见《附件3 技术部分评分标准》、《附件4 商务部分评分标准》。</w:t>
      </w:r>
    </w:p>
    <w:p w14:paraId="41B37D4B">
      <w:pPr>
        <w:pStyle w:val="6"/>
        <w:tabs>
          <w:tab w:val="left" w:pos="426"/>
          <w:tab w:val="left" w:pos="482"/>
        </w:tabs>
        <w:wordWrap w:val="0"/>
        <w:spacing w:line="360" w:lineRule="auto"/>
        <w:ind w:firstLine="482" w:firstLineChars="200"/>
        <w:rPr>
          <w:rFonts w:hint="eastAsia" w:ascii="仿宋" w:hAnsi="仿宋" w:eastAsia="仿宋" w:cs="仿宋"/>
          <w:b/>
          <w:bCs/>
          <w:color w:val="auto"/>
          <w:sz w:val="24"/>
          <w:szCs w:val="24"/>
          <w:highlight w:val="none"/>
          <w:lang w:val="en-GB" w:eastAsia="zh-CN"/>
        </w:rPr>
      </w:pPr>
      <w:r>
        <w:rPr>
          <w:rFonts w:hint="eastAsia" w:ascii="仿宋" w:hAnsi="仿宋" w:eastAsia="仿宋" w:cs="仿宋"/>
          <w:b/>
          <w:bCs/>
          <w:color w:val="auto"/>
          <w:sz w:val="24"/>
          <w:szCs w:val="24"/>
          <w:highlight w:val="none"/>
          <w:lang w:val="en-GB"/>
        </w:rPr>
        <w:t>6、汇总、排序、推荐</w:t>
      </w:r>
      <w:r>
        <w:rPr>
          <w:rFonts w:hint="eastAsia" w:ascii="仿宋" w:hAnsi="仿宋" w:eastAsia="仿宋" w:cs="仿宋"/>
          <w:b/>
          <w:bCs/>
          <w:color w:val="auto"/>
          <w:sz w:val="24"/>
          <w:szCs w:val="24"/>
          <w:highlight w:val="none"/>
          <w:lang w:val="en-GB" w:eastAsia="zh-CN"/>
        </w:rPr>
        <w:t>中标候选人</w:t>
      </w:r>
    </w:p>
    <w:p w14:paraId="7CD786BD">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（1）评标委员会将各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商务、技术部分得分汇总，按综合总分从高到低顺序排列，推荐</w:t>
      </w:r>
      <w:r>
        <w:rPr>
          <w:rFonts w:hint="eastAsia" w:ascii="仿宋" w:hAnsi="仿宋" w:eastAsia="仿宋" w:cs="仿宋"/>
          <w:color w:val="auto"/>
          <w:sz w:val="24"/>
          <w:szCs w:val="24"/>
          <w:highlight w:val="none"/>
          <w:lang w:val="en-US" w:eastAsia="zh-CN"/>
        </w:rPr>
        <w:t>1名</w:t>
      </w:r>
      <w:r>
        <w:rPr>
          <w:rFonts w:hint="eastAsia" w:ascii="仿宋" w:hAnsi="仿宋" w:eastAsia="仿宋" w:cs="仿宋"/>
          <w:color w:val="auto"/>
          <w:sz w:val="24"/>
          <w:szCs w:val="24"/>
          <w:highlight w:val="none"/>
          <w:lang w:val="en-GB" w:eastAsia="zh-CN"/>
        </w:rPr>
        <w:t>中标候选人</w:t>
      </w:r>
      <w:r>
        <w:rPr>
          <w:rFonts w:hint="eastAsia" w:ascii="仿宋" w:hAnsi="仿宋" w:eastAsia="仿宋" w:cs="仿宋"/>
          <w:color w:val="auto"/>
          <w:sz w:val="24"/>
          <w:szCs w:val="24"/>
          <w:highlight w:val="none"/>
          <w:lang w:val="en-GB"/>
        </w:rPr>
        <w:t>，排名第一的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为第一</w:t>
      </w:r>
      <w:r>
        <w:rPr>
          <w:rFonts w:hint="eastAsia" w:ascii="仿宋" w:hAnsi="仿宋" w:eastAsia="仿宋" w:cs="仿宋"/>
          <w:color w:val="auto"/>
          <w:sz w:val="24"/>
          <w:szCs w:val="24"/>
          <w:highlight w:val="none"/>
          <w:lang w:val="en-GB" w:eastAsia="zh-CN"/>
        </w:rPr>
        <w:t>中标候选人</w:t>
      </w:r>
      <w:r>
        <w:rPr>
          <w:rFonts w:hint="eastAsia" w:ascii="仿宋" w:hAnsi="仿宋" w:eastAsia="仿宋" w:cs="仿宋"/>
          <w:color w:val="auto"/>
          <w:sz w:val="24"/>
          <w:szCs w:val="24"/>
          <w:highlight w:val="none"/>
          <w:lang w:val="en-GB"/>
        </w:rPr>
        <w:t>。若综合总分相同，采取随机抽取的方式确定。</w:t>
      </w:r>
    </w:p>
    <w:p w14:paraId="7E442FC9">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GB"/>
        </w:rPr>
        <w:t>）评审过程中涉及和产生的所有程序文件、评审意见、表决意见和推荐意见等均须由评标委员会成员签名确认。</w:t>
      </w:r>
    </w:p>
    <w:p w14:paraId="3690707F">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GB"/>
        </w:rPr>
        <w:t>）评标结果汇总完成后，除下列情形外，任何人不得修改评标结果：</w:t>
      </w:r>
    </w:p>
    <w:p w14:paraId="26A5880D">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①　分值汇总计算错误的；</w:t>
      </w:r>
    </w:p>
    <w:p w14:paraId="0F231A6B">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②　分项评分超出评分标准范围的；</w:t>
      </w:r>
    </w:p>
    <w:p w14:paraId="7B949913">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③　评标委员会成员对客观评审因素评分不一致的；</w:t>
      </w:r>
    </w:p>
    <w:p w14:paraId="12930738">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④　经评标委员会认定评分畸高、畸低的。</w:t>
      </w:r>
    </w:p>
    <w:p w14:paraId="0EFE8CFE">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评标报告签署前，经复核发现存在以上情形之一的，评标委员会应当当场修改评标结果，并在评标报告中记载；评标报告签署后，</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发现存在以上情形之一的，应当组织原评标委员会进行重新评审，重新评审改变评标结果的，书面报告上级管理部门。</w:t>
      </w:r>
    </w:p>
    <w:p w14:paraId="16DFEB25">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对本条第一款情形提出质疑的，</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可以组织原评标委员会进行重新评审，重新评审改变评标结果的，应当书面报告监督管理机构。</w:t>
      </w:r>
    </w:p>
    <w:p w14:paraId="4C3618BC">
      <w:pPr>
        <w:pStyle w:val="6"/>
        <w:tabs>
          <w:tab w:val="left" w:pos="426"/>
          <w:tab w:val="left" w:pos="482"/>
        </w:tabs>
        <w:wordWrap w:val="0"/>
        <w:spacing w:line="360" w:lineRule="auto"/>
        <w:ind w:firstLine="482" w:firstLineChars="200"/>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GB"/>
        </w:rPr>
        <w:t>7、</w:t>
      </w:r>
      <w:r>
        <w:rPr>
          <w:rFonts w:hint="eastAsia" w:ascii="仿宋" w:hAnsi="仿宋" w:eastAsia="仿宋" w:cs="仿宋"/>
          <w:b/>
          <w:bCs/>
          <w:color w:val="auto"/>
          <w:sz w:val="24"/>
          <w:szCs w:val="24"/>
          <w:highlight w:val="none"/>
          <w:lang w:val="en-US" w:eastAsia="zh-CN"/>
        </w:rPr>
        <w:t>确定中标规则</w:t>
      </w:r>
    </w:p>
    <w:p w14:paraId="065BF7E3">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1．代理机构应当在评审结束后2个工作日内将评审报告送采购人。</w:t>
      </w:r>
    </w:p>
    <w:p w14:paraId="10F8BA18">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2．采购人应当自收到评审报告之日起５个工作日内，在评审报告确定的成交候选人名单中按顺序确定中标人。</w:t>
      </w:r>
    </w:p>
    <w:p w14:paraId="0C55F2F5">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3．采购人在收到评审报告5个工作日内未按评审报告推荐确定中标人，又不能说明合法理由的，视同按评审报告推荐的中标候选人为中标人。</w:t>
      </w:r>
    </w:p>
    <w:p w14:paraId="3FED3334">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4．采购人或者代理机构应当自中标人确定之日起2个工作日内，在指定的媒体上公告成交结果。</w:t>
      </w:r>
    </w:p>
    <w:p w14:paraId="63F83F2C">
      <w:pPr>
        <w:pStyle w:val="6"/>
        <w:tabs>
          <w:tab w:val="left" w:pos="426"/>
          <w:tab w:val="left" w:pos="482"/>
        </w:tabs>
        <w:wordWrap w:val="0"/>
        <w:spacing w:line="360" w:lineRule="auto"/>
        <w:ind w:firstLine="482" w:firstLineChars="200"/>
        <w:rPr>
          <w:rFonts w:hint="eastAsia" w:ascii="仿宋" w:hAnsi="仿宋" w:eastAsia="仿宋" w:cs="仿宋"/>
          <w:b/>
          <w:bCs/>
          <w:color w:val="auto"/>
          <w:sz w:val="24"/>
          <w:szCs w:val="24"/>
          <w:highlight w:val="none"/>
          <w:lang w:val="en-GB"/>
        </w:rPr>
      </w:pPr>
      <w:r>
        <w:rPr>
          <w:rFonts w:hint="default"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lang w:val="en-GB"/>
        </w:rPr>
        <w:t>、其他</w:t>
      </w:r>
    </w:p>
    <w:p w14:paraId="7E9784D5">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提交</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截止</w:t>
      </w:r>
      <w:r>
        <w:rPr>
          <w:rFonts w:hint="eastAsia" w:ascii="仿宋" w:hAnsi="仿宋" w:eastAsia="仿宋" w:cs="仿宋"/>
          <w:color w:val="auto"/>
          <w:sz w:val="24"/>
          <w:szCs w:val="24"/>
          <w:highlight w:val="none"/>
          <w:lang w:val="en-GB"/>
        </w:rPr>
        <w:t>截止后</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不足3家或者通过资格审查或符合性审查的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不足3家的，除</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val="en-GB" w:eastAsia="zh-CN"/>
        </w:rPr>
        <w:t>任务</w:t>
      </w:r>
      <w:r>
        <w:rPr>
          <w:rFonts w:hint="eastAsia" w:ascii="仿宋" w:hAnsi="仿宋" w:eastAsia="仿宋" w:cs="仿宋"/>
          <w:color w:val="auto"/>
          <w:sz w:val="24"/>
          <w:szCs w:val="24"/>
          <w:highlight w:val="none"/>
          <w:lang w:val="en-GB"/>
        </w:rPr>
        <w:t>取消情形外，按照以下方式处理：</w:t>
      </w:r>
    </w:p>
    <w:p w14:paraId="1B7172F9">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存在不合理条款或者</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val="en-GB" w:eastAsia="zh-CN"/>
        </w:rPr>
        <w:t>程序</w:t>
      </w:r>
      <w:r>
        <w:rPr>
          <w:rFonts w:hint="eastAsia" w:ascii="仿宋" w:hAnsi="仿宋" w:eastAsia="仿宋" w:cs="仿宋"/>
          <w:color w:val="auto"/>
          <w:sz w:val="24"/>
          <w:szCs w:val="24"/>
          <w:highlight w:val="none"/>
          <w:lang w:val="en-GB"/>
        </w:rPr>
        <w:t>不符合规定的，</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改正后依法</w:t>
      </w:r>
      <w:r>
        <w:rPr>
          <w:rFonts w:hint="eastAsia" w:ascii="仿宋" w:hAnsi="仿宋" w:eastAsia="仿宋" w:cs="仿宋"/>
          <w:color w:val="auto"/>
          <w:sz w:val="24"/>
          <w:szCs w:val="24"/>
          <w:highlight w:val="none"/>
          <w:lang w:val="en-GB" w:eastAsia="zh-CN"/>
        </w:rPr>
        <w:t>重新</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val="en-GB"/>
        </w:rPr>
        <w:t>；</w:t>
      </w:r>
    </w:p>
    <w:p w14:paraId="655DE4D1">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没有不合理条款、</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val="en-GB" w:eastAsia="zh-CN"/>
        </w:rPr>
        <w:t>程序</w:t>
      </w:r>
      <w:r>
        <w:rPr>
          <w:rFonts w:hint="eastAsia" w:ascii="仿宋" w:hAnsi="仿宋" w:eastAsia="仿宋" w:cs="仿宋"/>
          <w:color w:val="auto"/>
          <w:sz w:val="24"/>
          <w:szCs w:val="24"/>
          <w:highlight w:val="none"/>
          <w:lang w:val="en-GB"/>
        </w:rPr>
        <w:t>符合规定，需要采用其他</w:t>
      </w:r>
      <w:r>
        <w:rPr>
          <w:rFonts w:hint="eastAsia" w:ascii="仿宋" w:hAnsi="仿宋" w:eastAsia="仿宋" w:cs="仿宋"/>
          <w:color w:val="auto"/>
          <w:sz w:val="24"/>
          <w:szCs w:val="24"/>
          <w:highlight w:val="none"/>
          <w:lang w:val="en-US" w:eastAsia="zh-CN"/>
        </w:rPr>
        <w:t>采购方式</w:t>
      </w:r>
      <w:r>
        <w:rPr>
          <w:rFonts w:hint="eastAsia" w:ascii="仿宋" w:hAnsi="仿宋" w:eastAsia="仿宋" w:cs="仿宋"/>
          <w:color w:val="auto"/>
          <w:sz w:val="24"/>
          <w:szCs w:val="24"/>
          <w:highlight w:val="none"/>
          <w:lang w:val="en-GB"/>
        </w:rPr>
        <w:t>的，</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应当依法监督管理机构批准。</w:t>
      </w:r>
    </w:p>
    <w:p w14:paraId="650AFFA5">
      <w:pPr>
        <w:pStyle w:val="6"/>
        <w:tabs>
          <w:tab w:val="left" w:pos="426"/>
          <w:tab w:val="left" w:pos="482"/>
        </w:tabs>
        <w:wordWrap w:val="0"/>
        <w:spacing w:line="360" w:lineRule="auto"/>
        <w:ind w:firstLine="482" w:firstLineChars="200"/>
        <w:rPr>
          <w:rFonts w:hint="eastAsia" w:ascii="仿宋" w:hAnsi="仿宋" w:eastAsia="仿宋" w:cs="仿宋"/>
          <w:b/>
          <w:bCs/>
          <w:color w:val="auto"/>
          <w:sz w:val="24"/>
          <w:szCs w:val="24"/>
          <w:highlight w:val="none"/>
          <w:lang w:val="en-GB"/>
        </w:rPr>
      </w:pPr>
      <w:r>
        <w:rPr>
          <w:rFonts w:hint="default"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lang w:val="en-GB"/>
        </w:rPr>
        <w:t>、附件</w:t>
      </w:r>
    </w:p>
    <w:p w14:paraId="68BE6B5A">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附件1 资格审查标准</w:t>
      </w:r>
    </w:p>
    <w:p w14:paraId="2FD726E8">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附件2 符合性审查标准</w:t>
      </w:r>
    </w:p>
    <w:p w14:paraId="39E2A167">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附件3 </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lang w:val="en-GB"/>
        </w:rPr>
        <w:t>部分评分标准</w:t>
      </w:r>
    </w:p>
    <w:p w14:paraId="3C36A965">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附件4 商务部分评分标准</w:t>
      </w:r>
    </w:p>
    <w:p w14:paraId="5D5EE30B">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附件</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GB"/>
        </w:rPr>
        <w:t xml:space="preserve"> </w:t>
      </w:r>
      <w:r>
        <w:rPr>
          <w:rFonts w:hint="eastAsia" w:ascii="仿宋" w:hAnsi="仿宋" w:eastAsia="仿宋" w:cs="仿宋"/>
          <w:color w:val="auto"/>
          <w:sz w:val="24"/>
          <w:szCs w:val="24"/>
          <w:highlight w:val="none"/>
          <w:lang w:val="en-US" w:eastAsia="zh-CN"/>
        </w:rPr>
        <w:t>价格</w:t>
      </w:r>
      <w:r>
        <w:rPr>
          <w:rFonts w:hint="eastAsia" w:ascii="仿宋" w:hAnsi="仿宋" w:eastAsia="仿宋" w:cs="仿宋"/>
          <w:color w:val="auto"/>
          <w:sz w:val="24"/>
          <w:szCs w:val="24"/>
          <w:highlight w:val="none"/>
          <w:lang w:val="en-GB"/>
        </w:rPr>
        <w:t>部分评分标准</w:t>
      </w:r>
    </w:p>
    <w:p w14:paraId="3EBB4401">
      <w:pPr>
        <w:pStyle w:val="2"/>
        <w:rPr>
          <w:rFonts w:hint="eastAsia"/>
          <w:color w:val="auto"/>
          <w:highlight w:val="none"/>
          <w:lang w:val="en-GB"/>
        </w:rPr>
      </w:pPr>
    </w:p>
    <w:p w14:paraId="59E2D351">
      <w:pPr>
        <w:pStyle w:val="6"/>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GB"/>
        </w:rPr>
        <w:br w:type="page"/>
      </w:r>
      <w:r>
        <w:rPr>
          <w:rFonts w:hint="eastAsia" w:ascii="仿宋" w:hAnsi="仿宋" w:eastAsia="仿宋" w:cs="仿宋"/>
          <w:b/>
          <w:bCs/>
          <w:color w:val="auto"/>
          <w:sz w:val="24"/>
          <w:szCs w:val="24"/>
          <w:highlight w:val="none"/>
        </w:rPr>
        <w:t>附件1 资格审查标准</w:t>
      </w:r>
    </w:p>
    <w:p w14:paraId="66C2E078">
      <w:pPr>
        <w:pStyle w:val="6"/>
        <w:rPr>
          <w:rFonts w:hint="eastAsia" w:ascii="仿宋" w:hAnsi="仿宋" w:eastAsia="仿宋" w:cs="仿宋"/>
          <w:b/>
          <w:color w:val="auto"/>
          <w:sz w:val="24"/>
          <w:szCs w:val="24"/>
          <w:highlight w:val="none"/>
        </w:rPr>
      </w:pPr>
    </w:p>
    <w:tbl>
      <w:tblPr>
        <w:tblStyle w:val="23"/>
        <w:tblW w:w="908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983"/>
        <w:gridCol w:w="6441"/>
      </w:tblGrid>
      <w:tr w14:paraId="645BAE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6" w:type="dxa"/>
            <w:vAlign w:val="center"/>
          </w:tcPr>
          <w:p w14:paraId="71B3CEBC">
            <w:pPr>
              <w:pStyle w:val="6"/>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序号</w:t>
            </w:r>
          </w:p>
        </w:tc>
        <w:tc>
          <w:tcPr>
            <w:tcW w:w="1983" w:type="dxa"/>
            <w:vAlign w:val="center"/>
          </w:tcPr>
          <w:p w14:paraId="2EC92FBE">
            <w:pPr>
              <w:pStyle w:val="6"/>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评审点名称</w:t>
            </w:r>
          </w:p>
        </w:tc>
        <w:tc>
          <w:tcPr>
            <w:tcW w:w="6441" w:type="dxa"/>
            <w:vAlign w:val="center"/>
          </w:tcPr>
          <w:p w14:paraId="6911B81F">
            <w:pPr>
              <w:pStyle w:val="6"/>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评审标准</w:t>
            </w:r>
          </w:p>
        </w:tc>
      </w:tr>
      <w:tr w14:paraId="64C8F4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6" w:type="dxa"/>
            <w:vAlign w:val="center"/>
          </w:tcPr>
          <w:p w14:paraId="63D310E3">
            <w:pPr>
              <w:pStyle w:val="6"/>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983" w:type="dxa"/>
            <w:vAlign w:val="center"/>
          </w:tcPr>
          <w:p w14:paraId="40CAFD37">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具有独立承担民事责任的能力</w:t>
            </w:r>
          </w:p>
        </w:tc>
        <w:tc>
          <w:tcPr>
            <w:tcW w:w="6441" w:type="dxa"/>
            <w:vAlign w:val="center"/>
          </w:tcPr>
          <w:p w14:paraId="37512E1B">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pacing w:val="14"/>
                <w:sz w:val="24"/>
                <w:highlight w:val="none"/>
              </w:rPr>
              <w:t>在中华人民共和国境内注册的法人或其他组织或自然人，</w:t>
            </w:r>
            <w:r>
              <w:rPr>
                <w:rFonts w:hint="eastAsia" w:ascii="仿宋" w:hAnsi="仿宋" w:eastAsia="仿宋" w:cs="仿宋"/>
                <w:color w:val="auto"/>
                <w:spacing w:val="14"/>
                <w:sz w:val="24"/>
                <w:highlight w:val="none"/>
                <w:lang w:eastAsia="zh-CN"/>
              </w:rPr>
              <w:t>投标时</w:t>
            </w:r>
            <w:r>
              <w:rPr>
                <w:rFonts w:hint="eastAsia" w:ascii="仿宋" w:hAnsi="仿宋" w:eastAsia="仿宋" w:cs="仿宋"/>
                <w:color w:val="auto"/>
                <w:spacing w:val="14"/>
                <w:sz w:val="24"/>
                <w:highlight w:val="none"/>
              </w:rPr>
              <w:t>提交有效的营业执照（</w:t>
            </w:r>
            <w:r>
              <w:rPr>
                <w:rFonts w:hint="eastAsia" w:ascii="仿宋" w:hAnsi="仿宋" w:eastAsia="仿宋" w:cs="仿宋"/>
                <w:color w:val="auto"/>
                <w:spacing w:val="14"/>
                <w:sz w:val="24"/>
                <w:highlight w:val="none"/>
                <w:lang w:eastAsia="zh-CN"/>
              </w:rPr>
              <w:t>或事业法人登记证或民办非企业单位登记证书或</w:t>
            </w:r>
            <w:r>
              <w:rPr>
                <w:rFonts w:hint="eastAsia" w:ascii="仿宋" w:hAnsi="仿宋" w:eastAsia="仿宋" w:cs="仿宋"/>
                <w:color w:val="auto"/>
                <w:spacing w:val="14"/>
                <w:sz w:val="24"/>
                <w:highlight w:val="none"/>
              </w:rPr>
              <w:t>身份证等相关证明）副本复印件。</w:t>
            </w:r>
          </w:p>
        </w:tc>
      </w:tr>
      <w:tr w14:paraId="5E68EF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6" w:type="dxa"/>
            <w:vAlign w:val="center"/>
          </w:tcPr>
          <w:p w14:paraId="23ABA653">
            <w:pPr>
              <w:pStyle w:val="6"/>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983" w:type="dxa"/>
            <w:vAlign w:val="center"/>
          </w:tcPr>
          <w:p w14:paraId="78A57E91">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有依法缴纳税收和社会保障资金的良好记录</w:t>
            </w:r>
          </w:p>
        </w:tc>
        <w:tc>
          <w:tcPr>
            <w:tcW w:w="6441" w:type="dxa"/>
            <w:vAlign w:val="center"/>
          </w:tcPr>
          <w:p w14:paraId="7FF26C60">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提供</w:t>
            </w:r>
            <w:r>
              <w:rPr>
                <w:rFonts w:hint="eastAsia" w:ascii="仿宋" w:hAnsi="仿宋" w:eastAsia="仿宋" w:cs="仿宋"/>
                <w:color w:val="auto"/>
                <w:spacing w:val="14"/>
                <w:sz w:val="24"/>
                <w:highlight w:val="none"/>
                <w:lang w:eastAsia="zh-CN"/>
              </w:rPr>
              <w:t>提交投标文件截止日</w:t>
            </w:r>
            <w:r>
              <w:rPr>
                <w:rFonts w:hint="eastAsia" w:ascii="仿宋" w:hAnsi="仿宋" w:eastAsia="仿宋" w:cs="仿宋"/>
                <w:color w:val="auto"/>
                <w:spacing w:val="14"/>
                <w:sz w:val="24"/>
                <w:highlight w:val="none"/>
              </w:rPr>
              <w:t>前6个月内（含</w:t>
            </w:r>
            <w:r>
              <w:rPr>
                <w:rFonts w:hint="eastAsia" w:ascii="仿宋" w:hAnsi="仿宋" w:eastAsia="仿宋" w:cs="仿宋"/>
                <w:color w:val="auto"/>
                <w:spacing w:val="14"/>
                <w:sz w:val="24"/>
                <w:highlight w:val="none"/>
                <w:lang w:eastAsia="zh-CN"/>
              </w:rPr>
              <w:t>提交投标文件截止时间</w:t>
            </w:r>
            <w:r>
              <w:rPr>
                <w:rFonts w:hint="eastAsia" w:ascii="仿宋" w:hAnsi="仿宋" w:eastAsia="仿宋" w:cs="仿宋"/>
                <w:color w:val="auto"/>
                <w:spacing w:val="14"/>
                <w:sz w:val="24"/>
                <w:highlight w:val="none"/>
              </w:rPr>
              <w:t>当月）任意1个月依法缴纳税收和社会保障资金的相关材料（如依法免税或不需要缴纳社会保障资金的，提供相应证明材料）复印件，或提供承诺函（格式见附件《</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资格信用承诺函》）。</w:t>
            </w:r>
          </w:p>
        </w:tc>
      </w:tr>
      <w:tr w14:paraId="6474E4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6" w:type="dxa"/>
            <w:vAlign w:val="center"/>
          </w:tcPr>
          <w:p w14:paraId="542DF99C">
            <w:pPr>
              <w:pStyle w:val="6"/>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983" w:type="dxa"/>
            <w:vAlign w:val="center"/>
          </w:tcPr>
          <w:p w14:paraId="0D32F962">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具有良好的商业信誉和健全的财务会计制度</w:t>
            </w:r>
          </w:p>
        </w:tc>
        <w:tc>
          <w:tcPr>
            <w:tcW w:w="6441" w:type="dxa"/>
            <w:vAlign w:val="center"/>
          </w:tcPr>
          <w:p w14:paraId="5AD9200E">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提供经审计的</w:t>
            </w:r>
            <w:r>
              <w:rPr>
                <w:rFonts w:hint="eastAsia" w:ascii="仿宋" w:hAnsi="仿宋" w:eastAsia="仿宋" w:cs="仿宋"/>
                <w:color w:val="auto"/>
                <w:spacing w:val="14"/>
                <w:sz w:val="24"/>
                <w:highlight w:val="none"/>
                <w:lang w:eastAsia="zh-CN"/>
              </w:rPr>
              <w:t>2024年度</w:t>
            </w:r>
            <w:r>
              <w:rPr>
                <w:rFonts w:hint="eastAsia" w:ascii="仿宋" w:hAnsi="仿宋" w:eastAsia="仿宋" w:cs="仿宋"/>
                <w:color w:val="auto"/>
                <w:spacing w:val="14"/>
                <w:sz w:val="24"/>
                <w:highlight w:val="none"/>
              </w:rPr>
              <w:t>的财务报告，或资信证明，或开户许可证，或银行开具的《基本存款账户信息》复印件，或其他相关证明资料，或提供承诺函（格式见附件《</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资格信用承诺函》）。</w:t>
            </w:r>
          </w:p>
        </w:tc>
      </w:tr>
      <w:tr w14:paraId="0600D0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6" w:type="dxa"/>
            <w:vAlign w:val="center"/>
          </w:tcPr>
          <w:p w14:paraId="214951AB">
            <w:pPr>
              <w:pStyle w:val="6"/>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983" w:type="dxa"/>
            <w:vAlign w:val="center"/>
          </w:tcPr>
          <w:p w14:paraId="644842E6">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履行合同所必需的设备和专业技术能力</w:t>
            </w:r>
          </w:p>
        </w:tc>
        <w:tc>
          <w:tcPr>
            <w:tcW w:w="6441" w:type="dxa"/>
            <w:vAlign w:val="center"/>
          </w:tcPr>
          <w:p w14:paraId="14FC6ED2">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具备履行合同所必需的设备和专业技术能力的证明材料，或提供承诺函（格式见附件《</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资格信用承诺函》）。</w:t>
            </w:r>
          </w:p>
        </w:tc>
      </w:tr>
      <w:tr w14:paraId="4C8837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6" w:type="dxa"/>
            <w:vAlign w:val="center"/>
          </w:tcPr>
          <w:p w14:paraId="12DD7FE2">
            <w:pPr>
              <w:pStyle w:val="6"/>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983" w:type="dxa"/>
            <w:vAlign w:val="center"/>
          </w:tcPr>
          <w:p w14:paraId="3CF3F934">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参加本项目采购活动前三年内</w:t>
            </w:r>
            <w:r>
              <w:rPr>
                <w:rFonts w:hint="eastAsia" w:ascii="仿宋" w:hAnsi="仿宋" w:eastAsia="仿宋" w:cs="仿宋"/>
                <w:color w:val="auto"/>
                <w:sz w:val="24"/>
                <w:szCs w:val="24"/>
                <w:highlight w:val="none"/>
                <w:lang w:bidi="ar"/>
              </w:rPr>
              <w:t>，在经营活动中没有重大违法记录</w:t>
            </w:r>
          </w:p>
        </w:tc>
        <w:tc>
          <w:tcPr>
            <w:tcW w:w="6441" w:type="dxa"/>
            <w:vAlign w:val="center"/>
          </w:tcPr>
          <w:p w14:paraId="1745E86D">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提供承诺函（格式见附件《</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资格信用承诺函》）重大违法记录，是指</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714D8D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56" w:type="dxa"/>
            <w:vAlign w:val="center"/>
          </w:tcPr>
          <w:p w14:paraId="7AD9089E">
            <w:pPr>
              <w:pStyle w:val="6"/>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983" w:type="dxa"/>
            <w:vAlign w:val="center"/>
          </w:tcPr>
          <w:p w14:paraId="1B5CBDE2">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信用记录</w:t>
            </w:r>
          </w:p>
        </w:tc>
        <w:tc>
          <w:tcPr>
            <w:tcW w:w="6441" w:type="dxa"/>
            <w:vAlign w:val="center"/>
          </w:tcPr>
          <w:p w14:paraId="65E7F95C">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投标人未被列入“信用中国”网站(https://www.creditchina.gov.cn)“失信被执行人或重大税收违法失信主体或政府采购严重违法失信行为记录名单”记录名单。（以资格审查期间查询投标人在“信用中国”网站查询结果为准，如相关失信记录已失效，投标人需提供相关证明资料）。</w:t>
            </w:r>
          </w:p>
        </w:tc>
      </w:tr>
      <w:tr w14:paraId="56C3C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6" w:type="dxa"/>
            <w:vAlign w:val="center"/>
          </w:tcPr>
          <w:p w14:paraId="5FD95CE5">
            <w:pPr>
              <w:pStyle w:val="6"/>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983" w:type="dxa"/>
            <w:vAlign w:val="center"/>
          </w:tcPr>
          <w:p w14:paraId="4D3762D7">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法律、行政法规规定的其他条件1</w:t>
            </w:r>
          </w:p>
        </w:tc>
        <w:tc>
          <w:tcPr>
            <w:tcW w:w="6441" w:type="dxa"/>
            <w:vAlign w:val="center"/>
          </w:tcPr>
          <w:p w14:paraId="24396597">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单位负责人为同一人或者存在直接控股、管理关系的不同</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，不得同时参加</w:t>
            </w:r>
            <w:r>
              <w:rPr>
                <w:rFonts w:hint="eastAsia" w:ascii="仿宋" w:hAnsi="仿宋" w:eastAsia="仿宋" w:cs="仿宋"/>
                <w:color w:val="auto"/>
                <w:spacing w:val="14"/>
                <w:sz w:val="24"/>
                <w:highlight w:val="none"/>
                <w:lang w:eastAsia="zh-CN"/>
              </w:rPr>
              <w:t>本采购项目投标</w:t>
            </w:r>
            <w:r>
              <w:rPr>
                <w:rFonts w:hint="eastAsia" w:ascii="仿宋" w:hAnsi="仿宋" w:eastAsia="仿宋" w:cs="仿宋"/>
                <w:color w:val="auto"/>
                <w:spacing w:val="14"/>
                <w:sz w:val="24"/>
                <w:highlight w:val="none"/>
              </w:rPr>
              <w:t>。提供承诺函。（格式见附件《关于资格的声明函》）</w:t>
            </w:r>
          </w:p>
        </w:tc>
      </w:tr>
      <w:tr w14:paraId="36F5F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6" w:type="dxa"/>
            <w:vAlign w:val="center"/>
          </w:tcPr>
          <w:p w14:paraId="54CD876A">
            <w:pPr>
              <w:pStyle w:val="6"/>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983" w:type="dxa"/>
            <w:vAlign w:val="center"/>
          </w:tcPr>
          <w:p w14:paraId="31223FF2">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法律、行政法规规定的其他条件2</w:t>
            </w:r>
          </w:p>
        </w:tc>
        <w:tc>
          <w:tcPr>
            <w:tcW w:w="6441" w:type="dxa"/>
            <w:vAlign w:val="center"/>
          </w:tcPr>
          <w:p w14:paraId="08496A83">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为</w:t>
            </w:r>
            <w:r>
              <w:rPr>
                <w:rFonts w:hint="eastAsia" w:ascii="仿宋" w:hAnsi="仿宋" w:eastAsia="仿宋" w:cs="仿宋"/>
                <w:color w:val="auto"/>
                <w:spacing w:val="14"/>
                <w:sz w:val="24"/>
                <w:highlight w:val="none"/>
                <w:lang w:eastAsia="zh-CN"/>
              </w:rPr>
              <w:t>采购项目</w:t>
            </w:r>
            <w:r>
              <w:rPr>
                <w:rFonts w:hint="eastAsia" w:ascii="仿宋" w:hAnsi="仿宋" w:eastAsia="仿宋" w:cs="仿宋"/>
                <w:color w:val="auto"/>
                <w:spacing w:val="14"/>
                <w:sz w:val="24"/>
                <w:highlight w:val="none"/>
              </w:rPr>
              <w:t>提供整体设计、规范编制或者项目管理、监理、检测等服务的</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，不得再</w:t>
            </w:r>
            <w:r>
              <w:rPr>
                <w:rFonts w:hint="eastAsia" w:ascii="仿宋" w:hAnsi="仿宋" w:eastAsia="仿宋" w:cs="仿宋"/>
                <w:color w:val="auto"/>
                <w:spacing w:val="14"/>
                <w:sz w:val="24"/>
                <w:highlight w:val="none"/>
                <w:lang w:eastAsia="zh-CN"/>
              </w:rPr>
              <w:t>参加该采购项目的其他采购活动</w:t>
            </w:r>
            <w:r>
              <w:rPr>
                <w:rFonts w:hint="eastAsia" w:ascii="仿宋" w:hAnsi="仿宋" w:eastAsia="仿宋" w:cs="仿宋"/>
                <w:color w:val="auto"/>
                <w:spacing w:val="14"/>
                <w:sz w:val="24"/>
                <w:highlight w:val="none"/>
              </w:rPr>
              <w:t>。提供承诺函。（格式见附件《关于资格的声明函》）</w:t>
            </w:r>
          </w:p>
        </w:tc>
      </w:tr>
      <w:tr w14:paraId="4865B0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6" w:type="dxa"/>
            <w:vAlign w:val="center"/>
          </w:tcPr>
          <w:p w14:paraId="0024B897">
            <w:pPr>
              <w:pStyle w:val="6"/>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983" w:type="dxa"/>
            <w:vAlign w:val="center"/>
          </w:tcPr>
          <w:p w14:paraId="3E075A03">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bidi="ar"/>
              </w:rPr>
              <w:t>本项目不接受联合体</w:t>
            </w:r>
            <w:r>
              <w:rPr>
                <w:rFonts w:hint="eastAsia" w:ascii="仿宋" w:hAnsi="仿宋" w:eastAsia="仿宋" w:cs="仿宋"/>
                <w:color w:val="auto"/>
                <w:sz w:val="24"/>
                <w:szCs w:val="24"/>
                <w:highlight w:val="none"/>
                <w:lang w:eastAsia="zh-CN" w:bidi="ar"/>
              </w:rPr>
              <w:t>投标</w:t>
            </w:r>
          </w:p>
        </w:tc>
        <w:tc>
          <w:tcPr>
            <w:tcW w:w="6441" w:type="dxa"/>
            <w:vAlign w:val="center"/>
          </w:tcPr>
          <w:p w14:paraId="782EF6D2">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本项目不接受联合体</w:t>
            </w:r>
            <w:r>
              <w:rPr>
                <w:rFonts w:hint="eastAsia" w:ascii="仿宋" w:hAnsi="仿宋" w:eastAsia="仿宋" w:cs="仿宋"/>
                <w:color w:val="auto"/>
                <w:spacing w:val="14"/>
                <w:sz w:val="24"/>
                <w:highlight w:val="none"/>
                <w:lang w:eastAsia="zh-CN"/>
              </w:rPr>
              <w:t>投标</w:t>
            </w:r>
            <w:r>
              <w:rPr>
                <w:rFonts w:hint="eastAsia" w:ascii="仿宋" w:hAnsi="仿宋" w:eastAsia="仿宋" w:cs="仿宋"/>
                <w:color w:val="auto"/>
                <w:spacing w:val="14"/>
                <w:sz w:val="24"/>
                <w:highlight w:val="none"/>
              </w:rPr>
              <w:t>。（以联合体身份提交</w:t>
            </w:r>
            <w:r>
              <w:rPr>
                <w:rFonts w:hint="eastAsia" w:ascii="仿宋" w:hAnsi="仿宋" w:eastAsia="仿宋" w:cs="仿宋"/>
                <w:color w:val="auto"/>
                <w:spacing w:val="14"/>
                <w:sz w:val="24"/>
                <w:highlight w:val="none"/>
                <w:lang w:eastAsia="zh-CN"/>
              </w:rPr>
              <w:t>投标文件</w:t>
            </w:r>
            <w:r>
              <w:rPr>
                <w:rFonts w:hint="eastAsia" w:ascii="仿宋" w:hAnsi="仿宋" w:eastAsia="仿宋" w:cs="仿宋"/>
                <w:color w:val="auto"/>
                <w:spacing w:val="14"/>
                <w:sz w:val="24"/>
                <w:highlight w:val="none"/>
              </w:rPr>
              <w:t>参与</w:t>
            </w:r>
            <w:r>
              <w:rPr>
                <w:rFonts w:hint="eastAsia" w:ascii="仿宋" w:hAnsi="仿宋" w:eastAsia="仿宋" w:cs="仿宋"/>
                <w:color w:val="auto"/>
                <w:spacing w:val="14"/>
                <w:sz w:val="24"/>
                <w:highlight w:val="none"/>
                <w:lang w:eastAsia="zh-CN"/>
              </w:rPr>
              <w:t>投标</w:t>
            </w:r>
            <w:r>
              <w:rPr>
                <w:rFonts w:hint="eastAsia" w:ascii="仿宋" w:hAnsi="仿宋" w:eastAsia="仿宋" w:cs="仿宋"/>
                <w:color w:val="auto"/>
                <w:spacing w:val="14"/>
                <w:sz w:val="24"/>
                <w:highlight w:val="none"/>
              </w:rPr>
              <w:t>的，即视为不符合资格要求）</w:t>
            </w:r>
          </w:p>
        </w:tc>
      </w:tr>
    </w:tbl>
    <w:p w14:paraId="64F8C703">
      <w:pPr>
        <w:pStyle w:val="5"/>
        <w:spacing w:line="240" w:lineRule="auto"/>
        <w:rPr>
          <w:rFonts w:hint="eastAsia" w:ascii="仿宋" w:hAnsi="仿宋" w:eastAsia="仿宋" w:cs="仿宋"/>
          <w:color w:val="auto"/>
          <w:sz w:val="24"/>
          <w:szCs w:val="24"/>
          <w:highlight w:val="none"/>
        </w:rPr>
      </w:pPr>
    </w:p>
    <w:p w14:paraId="361A5C00">
      <w:pPr>
        <w:pStyle w:val="5"/>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附件2 符合性审查标准</w:t>
      </w:r>
    </w:p>
    <w:tbl>
      <w:tblPr>
        <w:tblStyle w:val="23"/>
        <w:tblW w:w="906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80"/>
        <w:gridCol w:w="6358"/>
      </w:tblGrid>
      <w:tr w14:paraId="12B24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25" w:type="dxa"/>
            <w:vAlign w:val="center"/>
          </w:tcPr>
          <w:p w14:paraId="7720FB57">
            <w:pPr>
              <w:pStyle w:val="6"/>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980" w:type="dxa"/>
            <w:vAlign w:val="center"/>
          </w:tcPr>
          <w:p w14:paraId="70B8A2A7">
            <w:pPr>
              <w:pStyle w:val="6"/>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评审点名称</w:t>
            </w:r>
          </w:p>
        </w:tc>
        <w:tc>
          <w:tcPr>
            <w:tcW w:w="6358" w:type="dxa"/>
            <w:vAlign w:val="center"/>
          </w:tcPr>
          <w:p w14:paraId="2656625E">
            <w:pPr>
              <w:pStyle w:val="6"/>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3F5FA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25" w:type="dxa"/>
            <w:vAlign w:val="center"/>
          </w:tcPr>
          <w:p w14:paraId="35689A34">
            <w:pPr>
              <w:pStyle w:val="6"/>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980" w:type="dxa"/>
            <w:vAlign w:val="center"/>
          </w:tcPr>
          <w:p w14:paraId="58884961">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color w:val="auto"/>
                <w:sz w:val="24"/>
                <w:szCs w:val="24"/>
                <w:highlight w:val="none"/>
              </w:rPr>
            </w:pPr>
            <w:r>
              <w:rPr>
                <w:rFonts w:ascii="仿宋" w:hAnsi="仿宋" w:eastAsia="仿宋" w:cs="仿宋"/>
                <w:color w:val="auto"/>
                <w:sz w:val="24"/>
                <w:szCs w:val="20"/>
                <w:highlight w:val="none"/>
              </w:rPr>
              <w:t>签署、盖章</w:t>
            </w:r>
          </w:p>
        </w:tc>
        <w:tc>
          <w:tcPr>
            <w:tcW w:w="6358" w:type="dxa"/>
            <w:vAlign w:val="center"/>
          </w:tcPr>
          <w:p w14:paraId="48BBE3D0">
            <w:pPr>
              <w:pStyle w:val="50"/>
              <w:keepNext w:val="0"/>
              <w:keepLines w:val="0"/>
              <w:widowControl/>
              <w:suppressLineNumbers w:val="0"/>
              <w:spacing w:before="0" w:beforeAutospacing="0" w:after="0" w:afterAutospacing="0" w:line="360" w:lineRule="auto"/>
              <w:ind w:left="0" w:right="0"/>
              <w:jc w:val="left"/>
              <w:rPr>
                <w:rFonts w:ascii="仿宋" w:hAnsi="仿宋" w:eastAsia="仿宋" w:cs="仿宋"/>
                <w:color w:val="auto"/>
                <w:sz w:val="24"/>
                <w:szCs w:val="24"/>
                <w:highlight w:val="none"/>
                <w:lang w:eastAsia="zh-CN"/>
              </w:rPr>
            </w:pPr>
            <w:r>
              <w:rPr>
                <w:rFonts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采购文件</w:t>
            </w:r>
            <w:r>
              <w:rPr>
                <w:rFonts w:ascii="仿宋" w:hAnsi="仿宋" w:eastAsia="仿宋" w:cs="仿宋"/>
                <w:color w:val="auto"/>
                <w:sz w:val="24"/>
                <w:szCs w:val="24"/>
                <w:highlight w:val="none"/>
              </w:rPr>
              <w:t>要求进行</w:t>
            </w:r>
            <w:r>
              <w:rPr>
                <w:rFonts w:ascii="仿宋" w:hAnsi="仿宋" w:eastAsia="仿宋" w:cs="仿宋"/>
                <w:color w:val="auto"/>
                <w:sz w:val="24"/>
                <w:szCs w:val="20"/>
                <w:highlight w:val="none"/>
              </w:rPr>
              <w:t>签署、盖章</w:t>
            </w:r>
            <w:r>
              <w:rPr>
                <w:rFonts w:ascii="仿宋" w:hAnsi="仿宋" w:eastAsia="仿宋" w:cs="仿宋"/>
                <w:color w:val="auto"/>
                <w:sz w:val="24"/>
                <w:szCs w:val="24"/>
                <w:highlight w:val="none"/>
                <w:lang w:eastAsia="zh-CN"/>
              </w:rPr>
              <w:t>。</w:t>
            </w:r>
          </w:p>
        </w:tc>
      </w:tr>
      <w:tr w14:paraId="48535A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25" w:type="dxa"/>
            <w:vAlign w:val="center"/>
          </w:tcPr>
          <w:p w14:paraId="23CE61C1">
            <w:pPr>
              <w:pStyle w:val="6"/>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980" w:type="dxa"/>
            <w:vAlign w:val="center"/>
          </w:tcPr>
          <w:p w14:paraId="1FF3E216">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bidi="ar"/>
              </w:rPr>
              <w:t>投标保证金</w:t>
            </w:r>
          </w:p>
        </w:tc>
        <w:tc>
          <w:tcPr>
            <w:tcW w:w="6358" w:type="dxa"/>
            <w:vAlign w:val="center"/>
          </w:tcPr>
          <w:p w14:paraId="71E2B2BB">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符合“</w:t>
            </w:r>
            <w:r>
              <w:rPr>
                <w:rFonts w:hint="eastAsia" w:ascii="仿宋" w:hAnsi="仿宋" w:eastAsia="仿宋" w:cs="仿宋"/>
                <w:color w:val="auto"/>
                <w:sz w:val="24"/>
                <w:szCs w:val="24"/>
                <w:highlight w:val="none"/>
                <w:lang w:eastAsia="zh-CN" w:bidi="ar"/>
              </w:rPr>
              <w:t>投标人</w:t>
            </w:r>
            <w:r>
              <w:rPr>
                <w:rFonts w:hint="eastAsia" w:ascii="仿宋" w:hAnsi="仿宋" w:eastAsia="仿宋" w:cs="仿宋"/>
                <w:color w:val="auto"/>
                <w:sz w:val="24"/>
                <w:szCs w:val="24"/>
                <w:highlight w:val="none"/>
                <w:lang w:bidi="ar"/>
              </w:rPr>
              <w:t>须知前附表”关于</w:t>
            </w:r>
            <w:r>
              <w:rPr>
                <w:rFonts w:hint="eastAsia" w:ascii="仿宋" w:hAnsi="仿宋" w:eastAsia="仿宋" w:cs="仿宋"/>
                <w:color w:val="auto"/>
                <w:sz w:val="24"/>
                <w:szCs w:val="24"/>
                <w:highlight w:val="none"/>
                <w:lang w:eastAsia="zh-CN" w:bidi="ar"/>
              </w:rPr>
              <w:t>投标保证金</w:t>
            </w:r>
            <w:r>
              <w:rPr>
                <w:rFonts w:hint="eastAsia" w:ascii="仿宋" w:hAnsi="仿宋" w:eastAsia="仿宋" w:cs="仿宋"/>
                <w:color w:val="auto"/>
                <w:sz w:val="24"/>
                <w:szCs w:val="24"/>
                <w:highlight w:val="none"/>
                <w:lang w:bidi="ar"/>
              </w:rPr>
              <w:t>的要求</w:t>
            </w:r>
            <w:r>
              <w:rPr>
                <w:rFonts w:hint="eastAsia" w:ascii="仿宋" w:hAnsi="仿宋" w:eastAsia="仿宋" w:cs="仿宋"/>
                <w:color w:val="auto"/>
                <w:sz w:val="24"/>
                <w:szCs w:val="24"/>
                <w:highlight w:val="none"/>
                <w:lang w:eastAsia="zh-CN" w:bidi="ar"/>
              </w:rPr>
              <w:t>，已按采购文件要求缴纳保证金。</w:t>
            </w:r>
          </w:p>
        </w:tc>
      </w:tr>
      <w:tr w14:paraId="5D439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25" w:type="dxa"/>
            <w:vAlign w:val="center"/>
          </w:tcPr>
          <w:p w14:paraId="39E13D61">
            <w:pPr>
              <w:pStyle w:val="6"/>
              <w:keepNext w:val="0"/>
              <w:keepLines w:val="0"/>
              <w:suppressLineNumbers w:val="0"/>
              <w:spacing w:before="120" w:beforeLines="50" w:beforeAutospacing="0" w:after="120" w:afterLines="5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980" w:type="dxa"/>
            <w:vAlign w:val="center"/>
          </w:tcPr>
          <w:p w14:paraId="4E6AB08F">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ascii="仿宋" w:hAnsi="仿宋" w:eastAsia="仿宋" w:cs="仿宋"/>
                <w:color w:val="auto"/>
                <w:sz w:val="24"/>
                <w:szCs w:val="24"/>
                <w:highlight w:val="none"/>
              </w:rPr>
              <w:t>报价</w:t>
            </w:r>
          </w:p>
        </w:tc>
        <w:tc>
          <w:tcPr>
            <w:tcW w:w="6358" w:type="dxa"/>
            <w:vAlign w:val="center"/>
          </w:tcPr>
          <w:p w14:paraId="72F95EA1">
            <w:pPr>
              <w:pStyle w:val="50"/>
              <w:keepNext w:val="0"/>
              <w:keepLines w:val="0"/>
              <w:widowControl/>
              <w:suppressLineNumbers w:val="0"/>
              <w:spacing w:before="0" w:beforeAutospacing="0" w:after="0" w:afterAutospacing="0" w:line="360" w:lineRule="auto"/>
              <w:ind w:left="0" w:right="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ascii="仿宋" w:hAnsi="仿宋" w:eastAsia="仿宋" w:cs="仿宋"/>
                <w:color w:val="auto"/>
                <w:sz w:val="24"/>
                <w:szCs w:val="24"/>
                <w:highlight w:val="none"/>
              </w:rPr>
              <w:t>报价在本项目规定的报价范围内填报，报价方案是唯一确定。不属于</w:t>
            </w:r>
            <w:r>
              <w:rPr>
                <w:rFonts w:hint="eastAsia" w:ascii="仿宋" w:hAnsi="仿宋" w:eastAsia="仿宋" w:cs="仿宋"/>
                <w:color w:val="auto"/>
                <w:sz w:val="24"/>
                <w:szCs w:val="24"/>
                <w:highlight w:val="none"/>
                <w:lang w:eastAsia="zh-CN"/>
              </w:rPr>
              <w:t>投标</w:t>
            </w:r>
            <w:r>
              <w:rPr>
                <w:rFonts w:ascii="仿宋" w:hAnsi="仿宋" w:eastAsia="仿宋" w:cs="仿宋"/>
                <w:color w:val="auto"/>
                <w:sz w:val="24"/>
                <w:szCs w:val="24"/>
                <w:highlight w:val="none"/>
              </w:rPr>
              <w:t>报价明显不合理，有可能影响产品质量或者不能诚信履约，在评标现场合理的时间内</w:t>
            </w:r>
            <w:r>
              <w:rPr>
                <w:rFonts w:hint="eastAsia" w:ascii="仿宋" w:hAnsi="仿宋" w:eastAsia="仿宋" w:cs="仿宋"/>
                <w:color w:val="auto"/>
                <w:sz w:val="24"/>
                <w:szCs w:val="24"/>
                <w:highlight w:val="none"/>
                <w:lang w:eastAsia="zh-CN"/>
              </w:rPr>
              <w:t>投标人</w:t>
            </w:r>
            <w:r>
              <w:rPr>
                <w:rFonts w:ascii="仿宋" w:hAnsi="仿宋" w:eastAsia="仿宋" w:cs="仿宋"/>
                <w:color w:val="auto"/>
                <w:sz w:val="24"/>
                <w:szCs w:val="24"/>
                <w:highlight w:val="none"/>
              </w:rPr>
              <w:t>不能证明其报价合理性的情况。</w:t>
            </w:r>
          </w:p>
        </w:tc>
      </w:tr>
      <w:tr w14:paraId="3B006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5" w:type="dxa"/>
            <w:vAlign w:val="center"/>
          </w:tcPr>
          <w:p w14:paraId="1B856354">
            <w:pPr>
              <w:pStyle w:val="6"/>
              <w:keepNext w:val="0"/>
              <w:keepLines w:val="0"/>
              <w:suppressLineNumbers w:val="0"/>
              <w:spacing w:before="120" w:beforeLines="50" w:beforeAutospacing="0" w:after="120" w:afterLines="5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980" w:type="dxa"/>
            <w:vAlign w:val="center"/>
          </w:tcPr>
          <w:p w14:paraId="4A68EF9D">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lang w:eastAsia="zh-CN"/>
              </w:rPr>
              <w:t>商务要求</w:t>
            </w:r>
            <w:r>
              <w:rPr>
                <w:rFonts w:ascii="仿宋" w:hAnsi="仿宋" w:eastAsia="仿宋" w:cs="仿宋"/>
                <w:color w:val="auto"/>
                <w:sz w:val="24"/>
                <w:szCs w:val="24"/>
                <w:highlight w:val="none"/>
              </w:rPr>
              <w:t>实质性响应</w:t>
            </w:r>
          </w:p>
        </w:tc>
        <w:tc>
          <w:tcPr>
            <w:tcW w:w="6358" w:type="dxa"/>
            <w:vAlign w:val="center"/>
          </w:tcPr>
          <w:p w14:paraId="4D1E37F4">
            <w:pPr>
              <w:pStyle w:val="50"/>
              <w:keepNext w:val="0"/>
              <w:keepLines w:val="0"/>
              <w:widowControl/>
              <w:suppressLineNumbers w:val="0"/>
              <w:spacing w:before="0" w:beforeAutospacing="0" w:after="0" w:afterAutospacing="0" w:line="360" w:lineRule="auto"/>
              <w:ind w:left="0" w:right="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无任何一条负偏离或不满足打“★”号条款的实质性条款。</w:t>
            </w:r>
          </w:p>
        </w:tc>
      </w:tr>
      <w:tr w14:paraId="3322E1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25" w:type="dxa"/>
            <w:vAlign w:val="center"/>
          </w:tcPr>
          <w:p w14:paraId="699AC2EF">
            <w:pPr>
              <w:pStyle w:val="6"/>
              <w:keepNext w:val="0"/>
              <w:keepLines w:val="0"/>
              <w:suppressLineNumbers w:val="0"/>
              <w:spacing w:before="120" w:beforeLines="50" w:beforeAutospacing="0" w:after="120" w:afterLines="50" w:afterAutospacing="0" w:line="360" w:lineRule="auto"/>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980" w:type="dxa"/>
            <w:vAlign w:val="center"/>
          </w:tcPr>
          <w:p w14:paraId="6918B389">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服务</w:t>
            </w:r>
            <w:r>
              <w:rPr>
                <w:rFonts w:ascii="仿宋" w:hAnsi="仿宋" w:eastAsia="仿宋" w:cs="仿宋"/>
                <w:color w:val="auto"/>
                <w:sz w:val="24"/>
                <w:szCs w:val="24"/>
                <w:highlight w:val="none"/>
                <w:lang w:eastAsia="zh-CN"/>
              </w:rPr>
              <w:t>要求</w:t>
            </w:r>
            <w:r>
              <w:rPr>
                <w:rFonts w:ascii="仿宋" w:hAnsi="仿宋" w:eastAsia="仿宋" w:cs="仿宋"/>
                <w:color w:val="auto"/>
                <w:sz w:val="24"/>
                <w:szCs w:val="24"/>
                <w:highlight w:val="none"/>
              </w:rPr>
              <w:t>实质性响应</w:t>
            </w:r>
          </w:p>
        </w:tc>
        <w:tc>
          <w:tcPr>
            <w:tcW w:w="6358" w:type="dxa"/>
            <w:vAlign w:val="center"/>
          </w:tcPr>
          <w:p w14:paraId="2ABB862E">
            <w:pPr>
              <w:pStyle w:val="50"/>
              <w:keepNext w:val="0"/>
              <w:keepLines w:val="0"/>
              <w:widowControl/>
              <w:suppressLineNumbers w:val="0"/>
              <w:spacing w:before="0" w:beforeAutospacing="0" w:after="0" w:afterAutospacing="0" w:line="360" w:lineRule="auto"/>
              <w:ind w:left="0" w:right="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无任何一条负偏离或不满足打“★”号条款的实质性条款。</w:t>
            </w:r>
          </w:p>
        </w:tc>
      </w:tr>
      <w:tr w14:paraId="7B2A08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25" w:type="dxa"/>
            <w:vAlign w:val="center"/>
          </w:tcPr>
          <w:p w14:paraId="02BC12B2">
            <w:pPr>
              <w:pStyle w:val="6"/>
              <w:keepNext w:val="0"/>
              <w:keepLines w:val="0"/>
              <w:suppressLineNumbers w:val="0"/>
              <w:spacing w:before="120" w:beforeLines="50" w:beforeAutospacing="0" w:after="120" w:afterLines="50" w:afterAutospacing="0" w:line="36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1980" w:type="dxa"/>
            <w:vAlign w:val="center"/>
          </w:tcPr>
          <w:p w14:paraId="0B23B462">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其他</w:t>
            </w:r>
          </w:p>
        </w:tc>
        <w:tc>
          <w:tcPr>
            <w:tcW w:w="6358" w:type="dxa"/>
            <w:vAlign w:val="center"/>
          </w:tcPr>
          <w:p w14:paraId="022557C2">
            <w:pPr>
              <w:pStyle w:val="50"/>
              <w:keepNext w:val="0"/>
              <w:keepLines w:val="0"/>
              <w:widowControl/>
              <w:suppressLineNumbers w:val="0"/>
              <w:spacing w:before="0" w:beforeAutospacing="0" w:after="0" w:afterAutospacing="0" w:line="360" w:lineRule="auto"/>
              <w:ind w:left="0" w:right="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没有发生有关法律、法规和规章及</w:t>
            </w:r>
            <w:r>
              <w:rPr>
                <w:rFonts w:hint="eastAsia" w:ascii="仿宋" w:hAnsi="仿宋" w:eastAsia="仿宋" w:cs="仿宋"/>
                <w:color w:val="auto"/>
                <w:sz w:val="24"/>
                <w:szCs w:val="24"/>
                <w:highlight w:val="none"/>
                <w:lang w:eastAsia="zh-CN"/>
              </w:rPr>
              <w:t>采购文件</w:t>
            </w:r>
            <w:r>
              <w:rPr>
                <w:rFonts w:ascii="仿宋" w:hAnsi="仿宋" w:eastAsia="仿宋" w:cs="仿宋"/>
                <w:color w:val="auto"/>
                <w:sz w:val="24"/>
                <w:szCs w:val="24"/>
                <w:highlight w:val="none"/>
              </w:rPr>
              <w:t>规定的其他无效</w:t>
            </w:r>
            <w:r>
              <w:rPr>
                <w:rFonts w:hint="eastAsia" w:ascii="仿宋" w:hAnsi="仿宋" w:eastAsia="仿宋" w:cs="仿宋"/>
                <w:color w:val="auto"/>
                <w:sz w:val="24"/>
                <w:szCs w:val="24"/>
                <w:highlight w:val="none"/>
                <w:lang w:eastAsia="zh-CN"/>
              </w:rPr>
              <w:t>投标</w:t>
            </w:r>
            <w:r>
              <w:rPr>
                <w:rFonts w:ascii="仿宋" w:hAnsi="仿宋" w:eastAsia="仿宋" w:cs="仿宋"/>
                <w:color w:val="auto"/>
                <w:sz w:val="24"/>
                <w:szCs w:val="24"/>
                <w:highlight w:val="none"/>
                <w:lang w:eastAsia="zh-CN"/>
              </w:rPr>
              <w:t>的</w:t>
            </w:r>
            <w:r>
              <w:rPr>
                <w:rFonts w:ascii="仿宋" w:hAnsi="仿宋" w:eastAsia="仿宋" w:cs="仿宋"/>
                <w:color w:val="auto"/>
                <w:sz w:val="24"/>
                <w:szCs w:val="24"/>
                <w:highlight w:val="none"/>
              </w:rPr>
              <w:t>情形。</w:t>
            </w:r>
          </w:p>
        </w:tc>
      </w:tr>
    </w:tbl>
    <w:p w14:paraId="54B5BA4F">
      <w:pPr>
        <w:pStyle w:val="15"/>
        <w:rPr>
          <w:rFonts w:hint="eastAsia" w:ascii="仿宋" w:hAnsi="仿宋" w:eastAsia="仿宋" w:cs="仿宋"/>
          <w:color w:val="auto"/>
          <w:sz w:val="24"/>
          <w:szCs w:val="24"/>
          <w:highlight w:val="none"/>
        </w:rPr>
      </w:pPr>
    </w:p>
    <w:p w14:paraId="3D47C2CE">
      <w:pPr>
        <w:rPr>
          <w:rFonts w:hint="eastAsia" w:ascii="仿宋" w:hAnsi="仿宋" w:eastAsia="仿宋" w:cs="仿宋"/>
          <w:color w:val="auto"/>
          <w:sz w:val="24"/>
          <w:highlight w:val="none"/>
        </w:rPr>
      </w:pPr>
    </w:p>
    <w:p w14:paraId="56419160">
      <w:pPr>
        <w:rPr>
          <w:rFonts w:hint="eastAsia" w:ascii="仿宋" w:hAnsi="仿宋" w:eastAsia="仿宋" w:cs="仿宋"/>
          <w:color w:val="auto"/>
          <w:sz w:val="24"/>
          <w:highlight w:val="none"/>
        </w:rPr>
      </w:pPr>
    </w:p>
    <w:p w14:paraId="3D13E0B8">
      <w:pPr>
        <w:pStyle w:val="5"/>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附件3</w:t>
      </w:r>
      <w:r>
        <w:rPr>
          <w:rFonts w:hint="eastAsia" w:ascii="仿宋" w:hAnsi="仿宋" w:eastAsia="仿宋" w:cs="仿宋"/>
          <w:color w:val="auto"/>
          <w:sz w:val="24"/>
          <w:szCs w:val="24"/>
          <w:highlight w:val="none"/>
          <w:lang w:val="en-US" w:eastAsia="zh-CN"/>
        </w:rPr>
        <w:t xml:space="preserve"> 技术</w:t>
      </w:r>
      <w:r>
        <w:rPr>
          <w:rFonts w:hint="eastAsia" w:ascii="仿宋" w:hAnsi="仿宋" w:eastAsia="仿宋" w:cs="仿宋"/>
          <w:color w:val="auto"/>
          <w:sz w:val="24"/>
          <w:szCs w:val="24"/>
          <w:highlight w:val="none"/>
        </w:rPr>
        <w:t>部分评分标准</w:t>
      </w:r>
    </w:p>
    <w:tbl>
      <w:tblPr>
        <w:tblStyle w:val="23"/>
        <w:tblW w:w="913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8"/>
        <w:gridCol w:w="1268"/>
        <w:gridCol w:w="6000"/>
        <w:gridCol w:w="984"/>
      </w:tblGrid>
      <w:tr w14:paraId="56E74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8" w:type="dxa"/>
            <w:vMerge w:val="restart"/>
            <w:vAlign w:val="center"/>
          </w:tcPr>
          <w:p w14:paraId="650B2C96">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b w:val="0"/>
                <w:bCs w:val="0"/>
                <w:color w:val="auto"/>
                <w:sz w:val="20"/>
                <w:szCs w:val="20"/>
                <w:highlight w:val="none"/>
                <w:lang w:eastAsia="zh-CN"/>
              </w:rPr>
            </w:pPr>
            <w:r>
              <w:rPr>
                <w:rFonts w:hint="eastAsia" w:ascii="仿宋" w:hAnsi="仿宋" w:eastAsia="仿宋" w:cs="仿宋"/>
                <w:b w:val="0"/>
                <w:bCs w:val="0"/>
                <w:color w:val="auto"/>
                <w:sz w:val="24"/>
                <w:szCs w:val="24"/>
                <w:highlight w:val="none"/>
                <w:lang w:val="en-US" w:eastAsia="zh-CN"/>
              </w:rPr>
              <w:t>技术</w:t>
            </w:r>
            <w:r>
              <w:rPr>
                <w:rFonts w:ascii="仿宋" w:hAnsi="仿宋" w:eastAsia="仿宋" w:cs="仿宋"/>
                <w:b w:val="0"/>
                <w:bCs w:val="0"/>
                <w:color w:val="auto"/>
                <w:sz w:val="24"/>
                <w:szCs w:val="24"/>
                <w:highlight w:val="none"/>
              </w:rPr>
              <w:t>部分</w:t>
            </w:r>
            <w:r>
              <w:rPr>
                <w:rFonts w:ascii="仿宋" w:hAnsi="仿宋" w:eastAsia="仿宋" w:cs="仿宋"/>
                <w:b w:val="0"/>
                <w:bCs w:val="0"/>
                <w:color w:val="auto"/>
                <w:sz w:val="24"/>
                <w:szCs w:val="24"/>
                <w:highlight w:val="none"/>
                <w:lang w:eastAsia="zh-CN"/>
              </w:rPr>
              <w:t>评分（</w:t>
            </w:r>
            <w:r>
              <w:rPr>
                <w:rFonts w:hint="eastAsia" w:ascii="仿宋" w:hAnsi="仿宋" w:eastAsia="仿宋" w:cs="仿宋"/>
                <w:b w:val="0"/>
                <w:bCs w:val="0"/>
                <w:color w:val="auto"/>
                <w:sz w:val="24"/>
                <w:szCs w:val="24"/>
                <w:highlight w:val="none"/>
                <w:lang w:val="en-US" w:eastAsia="zh-CN"/>
              </w:rPr>
              <w:t>35</w:t>
            </w:r>
            <w:r>
              <w:rPr>
                <w:rFonts w:ascii="仿宋" w:hAnsi="仿宋" w:eastAsia="仿宋" w:cs="仿宋"/>
                <w:b w:val="0"/>
                <w:bCs w:val="0"/>
                <w:color w:val="auto"/>
                <w:sz w:val="24"/>
                <w:szCs w:val="24"/>
                <w:highlight w:val="none"/>
                <w:lang w:eastAsia="zh-CN"/>
              </w:rPr>
              <w:t>分）</w:t>
            </w:r>
          </w:p>
        </w:tc>
        <w:tc>
          <w:tcPr>
            <w:tcW w:w="1268" w:type="dxa"/>
            <w:vAlign w:val="center"/>
          </w:tcPr>
          <w:p w14:paraId="20EC159B">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b w:val="0"/>
                <w:bCs w:val="0"/>
                <w:color w:val="auto"/>
                <w:sz w:val="24"/>
                <w:szCs w:val="24"/>
                <w:highlight w:val="none"/>
              </w:rPr>
            </w:pPr>
            <w:r>
              <w:rPr>
                <w:rFonts w:ascii="仿宋" w:hAnsi="仿宋" w:eastAsia="仿宋" w:cs="仿宋"/>
                <w:b w:val="0"/>
                <w:bCs w:val="0"/>
                <w:color w:val="auto"/>
                <w:sz w:val="24"/>
                <w:szCs w:val="24"/>
                <w:highlight w:val="none"/>
              </w:rPr>
              <w:t>评审因素名称</w:t>
            </w:r>
          </w:p>
        </w:tc>
        <w:tc>
          <w:tcPr>
            <w:tcW w:w="6000" w:type="dxa"/>
            <w:vAlign w:val="center"/>
          </w:tcPr>
          <w:p w14:paraId="48CC87E0">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b w:val="0"/>
                <w:bCs w:val="0"/>
                <w:color w:val="auto"/>
                <w:sz w:val="24"/>
                <w:szCs w:val="24"/>
                <w:highlight w:val="none"/>
              </w:rPr>
            </w:pPr>
            <w:r>
              <w:rPr>
                <w:rFonts w:ascii="仿宋" w:hAnsi="仿宋" w:eastAsia="仿宋" w:cs="仿宋"/>
                <w:b w:val="0"/>
                <w:bCs w:val="0"/>
                <w:color w:val="auto"/>
                <w:sz w:val="24"/>
                <w:szCs w:val="24"/>
                <w:highlight w:val="none"/>
              </w:rPr>
              <w:t>评审标准</w:t>
            </w:r>
          </w:p>
        </w:tc>
        <w:tc>
          <w:tcPr>
            <w:tcW w:w="984" w:type="dxa"/>
            <w:vAlign w:val="center"/>
          </w:tcPr>
          <w:p w14:paraId="38CD0346">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b w:val="0"/>
                <w:bCs w:val="0"/>
                <w:color w:val="auto"/>
                <w:sz w:val="24"/>
                <w:szCs w:val="24"/>
                <w:highlight w:val="none"/>
                <w:lang w:eastAsia="zh-CN"/>
              </w:rPr>
            </w:pPr>
            <w:r>
              <w:rPr>
                <w:rFonts w:ascii="仿宋" w:hAnsi="仿宋" w:eastAsia="仿宋" w:cs="仿宋"/>
                <w:b w:val="0"/>
                <w:bCs w:val="0"/>
                <w:color w:val="auto"/>
                <w:sz w:val="24"/>
                <w:szCs w:val="24"/>
                <w:highlight w:val="none"/>
                <w:lang w:eastAsia="zh-CN"/>
              </w:rPr>
              <w:t>单项最高分</w:t>
            </w:r>
          </w:p>
        </w:tc>
      </w:tr>
      <w:tr w14:paraId="252FA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8" w:type="dxa"/>
            <w:vMerge w:val="continue"/>
            <w:vAlign w:val="center"/>
          </w:tcPr>
          <w:p w14:paraId="3E608C08">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b w:val="0"/>
                <w:bCs w:val="0"/>
                <w:color w:val="auto"/>
                <w:sz w:val="20"/>
                <w:szCs w:val="20"/>
                <w:highlight w:val="none"/>
              </w:rPr>
            </w:pPr>
          </w:p>
        </w:tc>
        <w:tc>
          <w:tcPr>
            <w:tcW w:w="1268" w:type="dxa"/>
            <w:shd w:val="clear" w:color="auto" w:fill="auto"/>
            <w:vAlign w:val="center"/>
          </w:tcPr>
          <w:p w14:paraId="386E2DBB">
            <w:pPr>
              <w:pStyle w:val="50"/>
              <w:keepNext w:val="0"/>
              <w:keepLines w:val="0"/>
              <w:widowControl/>
              <w:suppressLineNumbers w:val="0"/>
              <w:spacing w:before="0" w:beforeAutospacing="0" w:after="0" w:afterAutospacing="0" w:line="360" w:lineRule="auto"/>
              <w:ind w:left="0" w:right="0"/>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zh-CN" w:eastAsia="zh-CN"/>
              </w:rPr>
              <w:t>服务实施方案</w:t>
            </w:r>
          </w:p>
        </w:tc>
        <w:tc>
          <w:tcPr>
            <w:tcW w:w="6000" w:type="dxa"/>
            <w:shd w:val="clear" w:color="auto" w:fill="auto"/>
            <w:vAlign w:val="top"/>
          </w:tcPr>
          <w:p w14:paraId="02728726">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根据本项目的实际情况，各</w:t>
            </w:r>
            <w:r>
              <w:rPr>
                <w:rFonts w:hint="eastAsia" w:ascii="仿宋" w:hAnsi="仿宋" w:eastAsia="仿宋" w:cs="仿宋"/>
                <w:b w:val="0"/>
                <w:bCs w:val="0"/>
                <w:color w:val="auto"/>
                <w:sz w:val="24"/>
                <w:szCs w:val="24"/>
                <w:highlight w:val="none"/>
                <w:lang w:val="en-US" w:eastAsia="zh-CN"/>
              </w:rPr>
              <w:t>投标人</w:t>
            </w:r>
            <w:r>
              <w:rPr>
                <w:rFonts w:hint="eastAsia" w:ascii="仿宋" w:hAnsi="仿宋" w:eastAsia="仿宋" w:cs="仿宋"/>
                <w:b w:val="0"/>
                <w:bCs w:val="0"/>
                <w:color w:val="auto"/>
                <w:sz w:val="24"/>
                <w:szCs w:val="24"/>
                <w:highlight w:val="none"/>
                <w:lang w:val="zh-CN" w:eastAsia="zh-CN"/>
              </w:rPr>
              <w:t>针对本项目实施方案（包含但不限于作业区域的作业内容、作业时间、作业人员安排、作业方法、自检保障措施等要素），方案可操作性、设置合理性进行综合评分：</w:t>
            </w:r>
          </w:p>
          <w:p w14:paraId="12CF322B">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（1）项目实施方案详细、具体，可行性、可操作性强的，得</w:t>
            </w: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val="zh-CN" w:eastAsia="zh-CN"/>
              </w:rPr>
              <w:t>分；</w:t>
            </w:r>
          </w:p>
          <w:p w14:paraId="3CA4AB98">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（2）项目实施方案详细、具体，但可行性、可操作性较强的，得</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lang w:val="zh-CN" w:eastAsia="zh-CN"/>
              </w:rPr>
              <w:t>分；</w:t>
            </w:r>
          </w:p>
          <w:p w14:paraId="209D4D56">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（3）项目实施方案欠缺完善且欠缺可行性的，得</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val="zh-CN" w:eastAsia="zh-CN"/>
              </w:rPr>
              <w:t>分；</w:t>
            </w:r>
          </w:p>
          <w:p w14:paraId="0FC4D9D2">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zh-CN" w:eastAsia="zh-CN"/>
              </w:rPr>
              <w:t>（4）无方案0分。</w:t>
            </w:r>
          </w:p>
        </w:tc>
        <w:tc>
          <w:tcPr>
            <w:tcW w:w="984" w:type="dxa"/>
            <w:shd w:val="clear" w:color="auto" w:fill="auto"/>
            <w:vAlign w:val="center"/>
          </w:tcPr>
          <w:p w14:paraId="772AF153">
            <w:pPr>
              <w:pStyle w:val="50"/>
              <w:keepNext w:val="0"/>
              <w:keepLines w:val="0"/>
              <w:widowControl/>
              <w:suppressLineNumbers w:val="0"/>
              <w:spacing w:before="0" w:beforeAutospacing="0" w:after="0" w:afterAutospacing="0" w:line="36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p>
        </w:tc>
      </w:tr>
      <w:tr w14:paraId="1F9F9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8" w:type="dxa"/>
            <w:vMerge w:val="continue"/>
            <w:vAlign w:val="center"/>
          </w:tcPr>
          <w:p w14:paraId="7D5ED96E">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b w:val="0"/>
                <w:bCs w:val="0"/>
                <w:color w:val="auto"/>
                <w:sz w:val="20"/>
                <w:szCs w:val="20"/>
                <w:highlight w:val="none"/>
              </w:rPr>
            </w:pPr>
          </w:p>
        </w:tc>
        <w:tc>
          <w:tcPr>
            <w:tcW w:w="1268" w:type="dxa"/>
            <w:shd w:val="clear" w:color="auto" w:fill="auto"/>
            <w:vAlign w:val="center"/>
          </w:tcPr>
          <w:p w14:paraId="4F09D805">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zh-CN" w:eastAsia="zh-CN"/>
              </w:rPr>
              <w:t>服务承诺与质量保障措施</w:t>
            </w:r>
          </w:p>
        </w:tc>
        <w:tc>
          <w:tcPr>
            <w:tcW w:w="6000" w:type="dxa"/>
            <w:shd w:val="clear" w:color="auto" w:fill="auto"/>
            <w:vAlign w:val="top"/>
          </w:tcPr>
          <w:p w14:paraId="335DA486">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根据各</w:t>
            </w:r>
            <w:r>
              <w:rPr>
                <w:rFonts w:hint="eastAsia" w:ascii="仿宋" w:hAnsi="仿宋" w:eastAsia="仿宋" w:cs="仿宋"/>
                <w:b w:val="0"/>
                <w:bCs w:val="0"/>
                <w:color w:val="auto"/>
                <w:sz w:val="24"/>
                <w:szCs w:val="24"/>
                <w:highlight w:val="none"/>
                <w:lang w:val="en-US" w:eastAsia="zh-CN"/>
              </w:rPr>
              <w:t>投标人</w:t>
            </w:r>
            <w:r>
              <w:rPr>
                <w:rFonts w:hint="eastAsia" w:ascii="仿宋" w:hAnsi="仿宋" w:eastAsia="仿宋" w:cs="仿宋"/>
                <w:b w:val="0"/>
                <w:bCs w:val="0"/>
                <w:color w:val="auto"/>
                <w:sz w:val="24"/>
                <w:szCs w:val="24"/>
                <w:highlight w:val="none"/>
                <w:lang w:val="zh-CN" w:eastAsia="zh-CN"/>
              </w:rPr>
              <w:t>针对本项目的实际情况，提出的各项服务承诺与质量保障措施进行综合评审：</w:t>
            </w:r>
          </w:p>
          <w:p w14:paraId="59DC024A">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（1）服务承诺全面科学性强，质量保障措施针对性强，得</w:t>
            </w: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val="zh-CN" w:eastAsia="zh-CN"/>
              </w:rPr>
              <w:t>分；</w:t>
            </w:r>
          </w:p>
          <w:p w14:paraId="2D8FB7C5">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（2）服务承诺全面科学性，质量保障措施完善合理，得6分；</w:t>
            </w:r>
          </w:p>
          <w:p w14:paraId="2D7594DD">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（3）服务承诺和质量保障措施基本满足采购要求，得2分；</w:t>
            </w:r>
          </w:p>
          <w:p w14:paraId="6A9C1563">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zh-CN" w:eastAsia="zh-CN"/>
              </w:rPr>
              <w:t>（4）无方案0分。</w:t>
            </w:r>
          </w:p>
        </w:tc>
        <w:tc>
          <w:tcPr>
            <w:tcW w:w="984" w:type="dxa"/>
            <w:shd w:val="clear" w:color="auto" w:fill="auto"/>
            <w:vAlign w:val="center"/>
          </w:tcPr>
          <w:p w14:paraId="42C0008A">
            <w:pPr>
              <w:pStyle w:val="50"/>
              <w:keepNext w:val="0"/>
              <w:keepLines w:val="0"/>
              <w:widowControl/>
              <w:suppressLineNumbers w:val="0"/>
              <w:spacing w:before="0" w:beforeAutospacing="0" w:after="0" w:afterAutospacing="0" w:line="36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p>
        </w:tc>
      </w:tr>
      <w:tr w14:paraId="28ADD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8" w:type="dxa"/>
            <w:vMerge w:val="continue"/>
            <w:vAlign w:val="center"/>
          </w:tcPr>
          <w:p w14:paraId="5D84CDDA">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b w:val="0"/>
                <w:bCs w:val="0"/>
                <w:color w:val="auto"/>
                <w:sz w:val="20"/>
                <w:szCs w:val="20"/>
                <w:highlight w:val="none"/>
              </w:rPr>
            </w:pPr>
          </w:p>
        </w:tc>
        <w:tc>
          <w:tcPr>
            <w:tcW w:w="1268" w:type="dxa"/>
            <w:shd w:val="clear" w:color="auto" w:fill="auto"/>
            <w:vAlign w:val="center"/>
          </w:tcPr>
          <w:p w14:paraId="2E219CAD">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zh-CN" w:eastAsia="zh-CN"/>
              </w:rPr>
              <w:t>应急响应方案</w:t>
            </w:r>
          </w:p>
        </w:tc>
        <w:tc>
          <w:tcPr>
            <w:tcW w:w="6000" w:type="dxa"/>
            <w:shd w:val="clear" w:color="auto" w:fill="auto"/>
            <w:vAlign w:val="center"/>
          </w:tcPr>
          <w:p w14:paraId="54ABCFD5">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GB" w:eastAsia="zh-CN"/>
              </w:rPr>
            </w:pPr>
            <w:r>
              <w:rPr>
                <w:rFonts w:hint="eastAsia" w:ascii="仿宋" w:hAnsi="仿宋" w:eastAsia="仿宋" w:cs="仿宋"/>
                <w:b w:val="0"/>
                <w:bCs w:val="0"/>
                <w:color w:val="auto"/>
                <w:sz w:val="24"/>
                <w:szCs w:val="24"/>
                <w:highlight w:val="none"/>
                <w:lang w:val="en-GB" w:eastAsia="zh-CN"/>
              </w:rPr>
              <w:t>根据各</w:t>
            </w:r>
            <w:r>
              <w:rPr>
                <w:rFonts w:hint="eastAsia" w:ascii="仿宋" w:hAnsi="仿宋" w:eastAsia="仿宋" w:cs="仿宋"/>
                <w:b w:val="0"/>
                <w:bCs w:val="0"/>
                <w:color w:val="auto"/>
                <w:sz w:val="24"/>
                <w:szCs w:val="24"/>
                <w:highlight w:val="none"/>
                <w:lang w:val="en-US" w:eastAsia="zh-CN"/>
              </w:rPr>
              <w:t>投标人</w:t>
            </w:r>
            <w:r>
              <w:rPr>
                <w:rFonts w:hint="eastAsia" w:ascii="仿宋" w:hAnsi="仿宋" w:eastAsia="仿宋" w:cs="仿宋"/>
                <w:b w:val="0"/>
                <w:bCs w:val="0"/>
                <w:color w:val="auto"/>
                <w:sz w:val="24"/>
                <w:szCs w:val="24"/>
                <w:highlight w:val="none"/>
                <w:lang w:val="en-GB" w:eastAsia="zh-CN"/>
              </w:rPr>
              <w:t>的应急响应方案【针对特发事件，台风、暴雨等天气影响，重大接待任务，重大节假日或活动等特殊情况制定的应急处置方案及实施经验，重点说明应急配套的能力（如人员数量、设备数量、响应时间）等方案】进行综合评审（有明显漏项的不得评优）：</w:t>
            </w:r>
          </w:p>
          <w:p w14:paraId="35C9F1CD">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GB" w:eastAsia="zh-CN"/>
              </w:rPr>
            </w:pPr>
            <w:r>
              <w:rPr>
                <w:rFonts w:hint="eastAsia" w:ascii="仿宋" w:hAnsi="仿宋" w:eastAsia="仿宋" w:cs="仿宋"/>
                <w:b w:val="0"/>
                <w:bCs w:val="0"/>
                <w:color w:val="auto"/>
                <w:sz w:val="24"/>
                <w:szCs w:val="24"/>
                <w:highlight w:val="none"/>
                <w:lang w:val="en-GB" w:eastAsia="zh-CN"/>
              </w:rPr>
              <w:t>（1）应急服务方案完整、可行，服从调度、响应迅速的，得10分；</w:t>
            </w:r>
          </w:p>
          <w:p w14:paraId="1458DD9A">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GB" w:eastAsia="zh-CN"/>
              </w:rPr>
            </w:pPr>
            <w:r>
              <w:rPr>
                <w:rFonts w:hint="eastAsia" w:ascii="仿宋" w:hAnsi="仿宋" w:eastAsia="仿宋" w:cs="仿宋"/>
                <w:b w:val="0"/>
                <w:bCs w:val="0"/>
                <w:color w:val="auto"/>
                <w:sz w:val="24"/>
                <w:szCs w:val="24"/>
                <w:highlight w:val="none"/>
                <w:lang w:val="en-GB" w:eastAsia="zh-CN"/>
              </w:rPr>
              <w:t>（2）应急服务方案较完整、可行，服从调度、响应及时，得</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lang w:val="en-GB" w:eastAsia="zh-CN"/>
              </w:rPr>
              <w:t>分；</w:t>
            </w:r>
          </w:p>
          <w:p w14:paraId="7C25C225">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GB" w:eastAsia="zh-CN"/>
              </w:rPr>
            </w:pPr>
            <w:r>
              <w:rPr>
                <w:rFonts w:hint="eastAsia" w:ascii="仿宋" w:hAnsi="仿宋" w:eastAsia="仿宋" w:cs="仿宋"/>
                <w:b w:val="0"/>
                <w:bCs w:val="0"/>
                <w:color w:val="auto"/>
                <w:sz w:val="24"/>
                <w:szCs w:val="24"/>
                <w:highlight w:val="none"/>
                <w:lang w:val="en-GB" w:eastAsia="zh-CN"/>
              </w:rPr>
              <w:t>（3）应急服务方案欠完整、可行，服从调度、响应一般，得</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val="en-GB" w:eastAsia="zh-CN"/>
              </w:rPr>
              <w:t>分；</w:t>
            </w:r>
          </w:p>
          <w:p w14:paraId="4EE3C88A">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GB" w:eastAsia="zh-CN"/>
              </w:rPr>
              <w:t>（4）无方案0分。</w:t>
            </w:r>
          </w:p>
        </w:tc>
        <w:tc>
          <w:tcPr>
            <w:tcW w:w="984" w:type="dxa"/>
            <w:shd w:val="clear" w:color="auto" w:fill="auto"/>
            <w:vAlign w:val="center"/>
          </w:tcPr>
          <w:p w14:paraId="378B63D5">
            <w:pPr>
              <w:pStyle w:val="50"/>
              <w:keepNext w:val="0"/>
              <w:keepLines w:val="0"/>
              <w:widowControl/>
              <w:suppressLineNumbers w:val="0"/>
              <w:spacing w:before="0" w:beforeAutospacing="0" w:after="0" w:afterAutospacing="0" w:line="36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p>
        </w:tc>
      </w:tr>
      <w:tr w14:paraId="65554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8" w:type="dxa"/>
            <w:vMerge w:val="continue"/>
            <w:vAlign w:val="center"/>
          </w:tcPr>
          <w:p w14:paraId="3FDB22C0">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b w:val="0"/>
                <w:bCs w:val="0"/>
                <w:color w:val="auto"/>
                <w:sz w:val="20"/>
                <w:szCs w:val="20"/>
                <w:highlight w:val="none"/>
              </w:rPr>
            </w:pPr>
          </w:p>
        </w:tc>
        <w:tc>
          <w:tcPr>
            <w:tcW w:w="1268" w:type="dxa"/>
            <w:shd w:val="clear" w:color="auto" w:fill="auto"/>
            <w:vAlign w:val="center"/>
          </w:tcPr>
          <w:p w14:paraId="1F8562AC">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GB" w:eastAsia="zh-CN"/>
              </w:rPr>
            </w:pPr>
            <w:r>
              <w:rPr>
                <w:rFonts w:hint="eastAsia" w:ascii="仿宋" w:hAnsi="仿宋" w:eastAsia="仿宋" w:cs="仿宋"/>
                <w:b w:val="0"/>
                <w:bCs w:val="0"/>
                <w:color w:val="auto"/>
                <w:sz w:val="24"/>
                <w:szCs w:val="24"/>
                <w:highlight w:val="none"/>
                <w:lang w:val="zh-CN" w:eastAsia="zh-CN"/>
              </w:rPr>
              <w:t>安全管理方案</w:t>
            </w:r>
          </w:p>
        </w:tc>
        <w:tc>
          <w:tcPr>
            <w:tcW w:w="6000" w:type="dxa"/>
            <w:shd w:val="clear" w:color="auto" w:fill="auto"/>
            <w:vAlign w:val="center"/>
          </w:tcPr>
          <w:p w14:paraId="4857195F">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GB" w:eastAsia="zh-CN"/>
              </w:rPr>
            </w:pPr>
            <w:r>
              <w:rPr>
                <w:rFonts w:hint="eastAsia" w:ascii="仿宋" w:hAnsi="仿宋" w:eastAsia="仿宋" w:cs="仿宋"/>
                <w:b w:val="0"/>
                <w:bCs w:val="0"/>
                <w:color w:val="auto"/>
                <w:sz w:val="24"/>
                <w:szCs w:val="24"/>
                <w:highlight w:val="none"/>
                <w:lang w:val="en-GB" w:eastAsia="zh-CN"/>
              </w:rPr>
              <w:t>根据各投标人在本项目的项目实施过程中的拟采用的安全管理方案进行综合评审：</w:t>
            </w:r>
          </w:p>
          <w:p w14:paraId="22DE2012">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GB" w:eastAsia="zh-CN"/>
              </w:rPr>
            </w:pPr>
            <w:r>
              <w:rPr>
                <w:rFonts w:hint="eastAsia" w:ascii="仿宋" w:hAnsi="仿宋" w:eastAsia="仿宋" w:cs="仿宋"/>
                <w:b w:val="0"/>
                <w:bCs w:val="0"/>
                <w:color w:val="auto"/>
                <w:sz w:val="24"/>
                <w:szCs w:val="24"/>
                <w:highlight w:val="none"/>
                <w:lang w:val="en-GB" w:eastAsia="zh-CN"/>
              </w:rPr>
              <w:t>（1）安全管理方案涉及内容非常全面，非常完善、科学的得</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val="en-GB" w:eastAsia="zh-CN"/>
              </w:rPr>
              <w:t>分；</w:t>
            </w:r>
          </w:p>
          <w:p w14:paraId="5E133C7E">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GB" w:eastAsia="zh-CN"/>
              </w:rPr>
            </w:pPr>
            <w:r>
              <w:rPr>
                <w:rFonts w:hint="eastAsia" w:ascii="仿宋" w:hAnsi="仿宋" w:eastAsia="仿宋" w:cs="仿宋"/>
                <w:b w:val="0"/>
                <w:bCs w:val="0"/>
                <w:color w:val="auto"/>
                <w:sz w:val="24"/>
                <w:szCs w:val="24"/>
                <w:highlight w:val="none"/>
                <w:lang w:val="en-GB" w:eastAsia="zh-CN"/>
              </w:rPr>
              <w:t>（2）安全管理方案涉及内容一般，基本完善、可行的得</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val="en-GB" w:eastAsia="zh-CN"/>
              </w:rPr>
              <w:t>分；</w:t>
            </w:r>
          </w:p>
          <w:p w14:paraId="219AF97B">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GB" w:eastAsia="zh-CN"/>
              </w:rPr>
            </w:pPr>
            <w:r>
              <w:rPr>
                <w:rFonts w:hint="eastAsia" w:ascii="仿宋" w:hAnsi="仿宋" w:eastAsia="仿宋" w:cs="仿宋"/>
                <w:b w:val="0"/>
                <w:bCs w:val="0"/>
                <w:color w:val="auto"/>
                <w:sz w:val="24"/>
                <w:szCs w:val="24"/>
                <w:highlight w:val="none"/>
                <w:lang w:val="en-GB" w:eastAsia="zh-CN"/>
              </w:rPr>
              <w:t>（3）安全管理方案涉及内容较差，不够完善、不可行的得1分；</w:t>
            </w:r>
          </w:p>
          <w:p w14:paraId="19F8CFDD">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GB" w:eastAsia="zh-CN"/>
              </w:rPr>
              <w:t>（4）无方案0分。</w:t>
            </w:r>
          </w:p>
        </w:tc>
        <w:tc>
          <w:tcPr>
            <w:tcW w:w="984" w:type="dxa"/>
            <w:shd w:val="clear" w:color="auto" w:fill="auto"/>
            <w:vAlign w:val="center"/>
          </w:tcPr>
          <w:p w14:paraId="0186E648">
            <w:pPr>
              <w:pStyle w:val="50"/>
              <w:keepNext w:val="0"/>
              <w:keepLines w:val="0"/>
              <w:widowControl/>
              <w:suppressLineNumbers w:val="0"/>
              <w:spacing w:before="0" w:beforeAutospacing="0" w:after="0" w:afterAutospacing="0" w:line="36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w:t>
            </w:r>
          </w:p>
        </w:tc>
      </w:tr>
    </w:tbl>
    <w:p w14:paraId="6A1E5F9A">
      <w:pPr>
        <w:rPr>
          <w:rFonts w:hint="eastAsia" w:ascii="仿宋" w:hAnsi="仿宋" w:eastAsia="仿宋" w:cs="仿宋"/>
          <w:color w:val="auto"/>
          <w:sz w:val="24"/>
          <w:highlight w:val="none"/>
        </w:rPr>
      </w:pPr>
    </w:p>
    <w:p w14:paraId="2A1187F6">
      <w:pPr>
        <w:pStyle w:val="5"/>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rPr>
        <w:br w:type="page"/>
      </w:r>
      <w:r>
        <w:rPr>
          <w:rFonts w:hint="eastAsia" w:ascii="仿宋" w:hAnsi="仿宋" w:eastAsia="仿宋" w:cs="仿宋"/>
          <w:color w:val="auto"/>
          <w:sz w:val="24"/>
          <w:szCs w:val="24"/>
          <w:highlight w:val="none"/>
          <w:lang w:val="en-GB"/>
        </w:rPr>
        <w:t>附件4    商务部分评分标准</w:t>
      </w:r>
    </w:p>
    <w:tbl>
      <w:tblPr>
        <w:tblStyle w:val="23"/>
        <w:tblW w:w="940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63"/>
        <w:gridCol w:w="1200"/>
        <w:gridCol w:w="6117"/>
        <w:gridCol w:w="1028"/>
      </w:tblGrid>
      <w:tr w14:paraId="0E6A1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Merge w:val="restart"/>
            <w:vAlign w:val="center"/>
          </w:tcPr>
          <w:p w14:paraId="1E89A86F">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0"/>
                <w:szCs w:val="20"/>
                <w:highlight w:val="none"/>
                <w:lang w:eastAsia="zh-CN"/>
              </w:rPr>
            </w:pPr>
            <w:r>
              <w:rPr>
                <w:rFonts w:ascii="仿宋" w:hAnsi="仿宋" w:eastAsia="仿宋" w:cs="仿宋"/>
                <w:sz w:val="24"/>
                <w:szCs w:val="24"/>
                <w:highlight w:val="none"/>
              </w:rPr>
              <w:t>商务部分</w:t>
            </w:r>
            <w:r>
              <w:rPr>
                <w:rFonts w:ascii="仿宋" w:hAnsi="仿宋" w:eastAsia="仿宋" w:cs="仿宋"/>
                <w:sz w:val="24"/>
                <w:szCs w:val="24"/>
                <w:highlight w:val="none"/>
                <w:lang w:eastAsia="zh-CN"/>
              </w:rPr>
              <w:t>（55分）</w:t>
            </w:r>
          </w:p>
        </w:tc>
        <w:tc>
          <w:tcPr>
            <w:tcW w:w="1200" w:type="dxa"/>
            <w:vAlign w:val="center"/>
          </w:tcPr>
          <w:p w14:paraId="1961A431">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4"/>
                <w:szCs w:val="24"/>
                <w:highlight w:val="none"/>
              </w:rPr>
            </w:pPr>
            <w:r>
              <w:rPr>
                <w:rFonts w:ascii="仿宋" w:hAnsi="仿宋" w:eastAsia="仿宋" w:cs="仿宋"/>
                <w:sz w:val="24"/>
                <w:szCs w:val="24"/>
                <w:highlight w:val="none"/>
              </w:rPr>
              <w:t>评审因素名称</w:t>
            </w:r>
          </w:p>
        </w:tc>
        <w:tc>
          <w:tcPr>
            <w:tcW w:w="6117" w:type="dxa"/>
            <w:vAlign w:val="center"/>
          </w:tcPr>
          <w:p w14:paraId="0C0CAE54">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4"/>
                <w:szCs w:val="24"/>
                <w:highlight w:val="none"/>
              </w:rPr>
            </w:pPr>
            <w:r>
              <w:rPr>
                <w:rFonts w:ascii="仿宋" w:hAnsi="仿宋" w:eastAsia="仿宋" w:cs="仿宋"/>
                <w:sz w:val="24"/>
                <w:szCs w:val="24"/>
                <w:highlight w:val="none"/>
              </w:rPr>
              <w:t>评审标准</w:t>
            </w:r>
          </w:p>
        </w:tc>
        <w:tc>
          <w:tcPr>
            <w:tcW w:w="1028" w:type="dxa"/>
            <w:vAlign w:val="center"/>
          </w:tcPr>
          <w:p w14:paraId="79A8B9D3">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单项最高分</w:t>
            </w:r>
          </w:p>
        </w:tc>
      </w:tr>
      <w:tr w14:paraId="76F93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Merge w:val="continue"/>
            <w:vAlign w:val="center"/>
          </w:tcPr>
          <w:p w14:paraId="013C9126">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0"/>
                <w:szCs w:val="20"/>
                <w:highlight w:val="none"/>
              </w:rPr>
            </w:pPr>
          </w:p>
        </w:tc>
        <w:tc>
          <w:tcPr>
            <w:tcW w:w="1200" w:type="dxa"/>
            <w:vAlign w:val="center"/>
          </w:tcPr>
          <w:p w14:paraId="37FD5167">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sz w:val="20"/>
                <w:szCs w:val="20"/>
                <w:highlight w:val="none"/>
                <w:lang w:eastAsia="zh-CN"/>
              </w:rPr>
            </w:pPr>
            <w:r>
              <w:rPr>
                <w:rFonts w:hint="default" w:ascii="仿宋" w:hAnsi="仿宋" w:eastAsia="仿宋" w:cs="仿宋"/>
                <w:sz w:val="24"/>
                <w:szCs w:val="24"/>
                <w:highlight w:val="none"/>
                <w:lang w:eastAsia="zh-CN"/>
              </w:rPr>
              <w:t>同类项目业绩情况</w:t>
            </w:r>
          </w:p>
        </w:tc>
        <w:tc>
          <w:tcPr>
            <w:tcW w:w="6117" w:type="dxa"/>
            <w:vAlign w:val="center"/>
          </w:tcPr>
          <w:p w14:paraId="56AFB458">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自2022年01月01日起至投标截止时间止（以合同签订时间为准）供应商独立承担的市政环卫保洁业绩：</w:t>
            </w:r>
          </w:p>
          <w:p w14:paraId="665196E8">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（1）内容为农村社区环境管理服务的，每提供一项得1分，满分15分。</w:t>
            </w:r>
          </w:p>
          <w:p w14:paraId="47B33C26">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（2）内容无包含农村社区环境管理服务的，每提供一项得0.5分，满分7分。</w:t>
            </w:r>
          </w:p>
          <w:p w14:paraId="255D640F">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注：本项满分15分，投标文件中提供中标通知书及合同书关键页复印件并加盖用户单位公章，不提供或不满足要求不得分。</w:t>
            </w:r>
          </w:p>
        </w:tc>
        <w:tc>
          <w:tcPr>
            <w:tcW w:w="1028" w:type="dxa"/>
            <w:vAlign w:val="center"/>
          </w:tcPr>
          <w:p w14:paraId="0489A114">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15</w:t>
            </w:r>
          </w:p>
        </w:tc>
      </w:tr>
      <w:tr w14:paraId="0DD5D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Merge w:val="continue"/>
            <w:vAlign w:val="center"/>
          </w:tcPr>
          <w:p w14:paraId="79373ED2">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4"/>
                <w:szCs w:val="24"/>
                <w:highlight w:val="none"/>
              </w:rPr>
            </w:pPr>
          </w:p>
        </w:tc>
        <w:tc>
          <w:tcPr>
            <w:tcW w:w="1200" w:type="dxa"/>
            <w:vAlign w:val="center"/>
          </w:tcPr>
          <w:p w14:paraId="75337D3C">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荣誉证书（一）</w:t>
            </w:r>
          </w:p>
        </w:tc>
        <w:tc>
          <w:tcPr>
            <w:tcW w:w="6117" w:type="dxa"/>
            <w:vAlign w:val="center"/>
          </w:tcPr>
          <w:p w14:paraId="4CF481C0">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自2022年01月01日起至投标截止时间止（以证书获奖时间为准），投标人承接的环境管理服务项目中获得优秀（优质）项目荣誉证书：</w:t>
            </w:r>
          </w:p>
          <w:p w14:paraId="01ACD79D">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（1）市级或以上单位颁发的，每提供一项得2分，最高得10分。</w:t>
            </w:r>
          </w:p>
          <w:p w14:paraId="0FB72296">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（2）市级以下单位颁发的，每提供一项得1分，最高得5分。</w:t>
            </w:r>
          </w:p>
          <w:p w14:paraId="69BE5ACC">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注：1、获奖情况应当依据国家、省、市级的人民政府或者行业主管部门或者经民政部门批准成立的相关行业协会（学会）颁发的获奖证书或获奖正式文件确认。投标文件中须提供获奖项目合同书关键页以及荣誉证书或牌匾复印件,并加盖用户单位公章。</w:t>
            </w:r>
          </w:p>
          <w:p w14:paraId="4144A326">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2、如荣誉证书或牌匾中的颁发机构无法认定其等级，投标人应提供证明其等级的佐证材料。</w:t>
            </w:r>
          </w:p>
          <w:p w14:paraId="3B2988C6">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3、提供的获奖证书颁发机构为行业协会（学会）的须同时提供由民政部门批准成立的相关资料或民政部门官网查询资料。</w:t>
            </w:r>
          </w:p>
          <w:p w14:paraId="0D0CFDD5">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4、不提供或不满足要求不得分。</w:t>
            </w:r>
          </w:p>
        </w:tc>
        <w:tc>
          <w:tcPr>
            <w:tcW w:w="1028" w:type="dxa"/>
            <w:vAlign w:val="center"/>
          </w:tcPr>
          <w:p w14:paraId="6DAF46BF">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10</w:t>
            </w:r>
          </w:p>
        </w:tc>
      </w:tr>
      <w:tr w14:paraId="5672F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Merge w:val="continue"/>
            <w:vAlign w:val="center"/>
          </w:tcPr>
          <w:p w14:paraId="3A973A38">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4"/>
                <w:szCs w:val="24"/>
                <w:highlight w:val="none"/>
              </w:rPr>
            </w:pPr>
          </w:p>
        </w:tc>
        <w:tc>
          <w:tcPr>
            <w:tcW w:w="1200" w:type="dxa"/>
            <w:shd w:val="clear" w:color="auto" w:fill="auto"/>
            <w:vAlign w:val="center"/>
          </w:tcPr>
          <w:p w14:paraId="4AEDC40B">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企业荣誉（二）</w:t>
            </w:r>
          </w:p>
        </w:tc>
        <w:tc>
          <w:tcPr>
            <w:tcW w:w="6117" w:type="dxa"/>
            <w:shd w:val="clear" w:color="auto" w:fill="auto"/>
            <w:vAlign w:val="center"/>
          </w:tcPr>
          <w:p w14:paraId="3859CD9C">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自2022年01月01日起至投标截止时间止（以证书获奖时间为准），获得政府部门或政府相关部门颁发的“先进单位”或“先进集体”等荣誉证书或其他有关环卫荣誉表彰的证书，每提供一个得4分，满分8分。</w:t>
            </w:r>
          </w:p>
          <w:p w14:paraId="6B0EB703">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注：提供荣誉证明材料复印件，并加盖投标人公章。</w:t>
            </w:r>
          </w:p>
        </w:tc>
        <w:tc>
          <w:tcPr>
            <w:tcW w:w="1028" w:type="dxa"/>
            <w:vAlign w:val="center"/>
          </w:tcPr>
          <w:p w14:paraId="309FCA25">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8</w:t>
            </w:r>
          </w:p>
        </w:tc>
      </w:tr>
      <w:tr w14:paraId="2F570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Merge w:val="continue"/>
            <w:vAlign w:val="center"/>
          </w:tcPr>
          <w:p w14:paraId="3C9D0F49">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0"/>
                <w:szCs w:val="20"/>
                <w:highlight w:val="none"/>
              </w:rPr>
            </w:pPr>
          </w:p>
        </w:tc>
        <w:tc>
          <w:tcPr>
            <w:tcW w:w="1200" w:type="dxa"/>
            <w:vAlign w:val="center"/>
          </w:tcPr>
          <w:p w14:paraId="3B25909C">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投标人企业体系情况</w:t>
            </w:r>
          </w:p>
        </w:tc>
        <w:tc>
          <w:tcPr>
            <w:tcW w:w="6117" w:type="dxa"/>
            <w:vAlign w:val="center"/>
          </w:tcPr>
          <w:p w14:paraId="2EA49487">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投标人具有有效的质量管理体系认证证书、环境管理体系认证证书、职业健康安全管理体系认证证书、安全生产标准化管理体系认证证书的，每提供1个得3分，本项目最高得12分。</w:t>
            </w:r>
          </w:p>
          <w:p w14:paraId="767D7696">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注：投标文件中提供认证证书复印件和全国认证认可信息公共服务平台（网站：http://cx.cnca.cn/）网页截图，证书的有效性以http://cx.cnca.cn/网站公布的网页截图为准，供应商通过网站进行打印，查询截图中证书编号及获证组织名称（即供应商名称）须与所提供的认证证书一致，认证覆盖范围包含城乡生活垃圾经营性清扫、收集及运输服务、城乡水域保洁服务、城乡园林绿化环境管养服务。</w:t>
            </w:r>
          </w:p>
        </w:tc>
        <w:tc>
          <w:tcPr>
            <w:tcW w:w="1028" w:type="dxa"/>
            <w:vAlign w:val="center"/>
          </w:tcPr>
          <w:p w14:paraId="71EA699A">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12</w:t>
            </w:r>
          </w:p>
        </w:tc>
      </w:tr>
      <w:tr w14:paraId="61880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Merge w:val="continue"/>
            <w:vAlign w:val="center"/>
          </w:tcPr>
          <w:p w14:paraId="34604AF7">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0"/>
                <w:szCs w:val="20"/>
                <w:highlight w:val="none"/>
              </w:rPr>
            </w:pPr>
          </w:p>
        </w:tc>
        <w:tc>
          <w:tcPr>
            <w:tcW w:w="1200" w:type="dxa"/>
            <w:shd w:val="clear" w:color="auto" w:fill="auto"/>
            <w:vAlign w:val="center"/>
          </w:tcPr>
          <w:p w14:paraId="65D72021">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投标人本项目人员情况</w:t>
            </w:r>
          </w:p>
        </w:tc>
        <w:tc>
          <w:tcPr>
            <w:tcW w:w="6117" w:type="dxa"/>
            <w:shd w:val="clear" w:color="auto" w:fill="auto"/>
            <w:vAlign w:val="center"/>
          </w:tcPr>
          <w:p w14:paraId="190FC71D">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拟投入本项目的项目负责人（1人），具有清扫收集运输运营项目经理类证书、生态环境管理与咨询职称证书、安全生产知识和管理能力考核合格证明、垃圾分类项目管理师类证书的，每提供1个得1分，本小项最高得4分。</w:t>
            </w:r>
          </w:p>
          <w:p w14:paraId="04F1BA9B">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2、拟投入本项目的现场管理员（</w:t>
            </w:r>
            <w:r>
              <w:rPr>
                <w:rFonts w:hint="eastAsia" w:ascii="仿宋" w:hAnsi="仿宋" w:eastAsia="仿宋" w:cs="仿宋"/>
                <w:sz w:val="24"/>
                <w:szCs w:val="24"/>
                <w:highlight w:val="none"/>
                <w:lang w:val="en-US" w:eastAsia="zh-CN"/>
              </w:rPr>
              <w:t>2</w:t>
            </w:r>
            <w:r>
              <w:rPr>
                <w:rFonts w:ascii="仿宋" w:hAnsi="仿宋" w:eastAsia="仿宋" w:cs="仿宋"/>
                <w:sz w:val="24"/>
                <w:szCs w:val="24"/>
                <w:highlight w:val="none"/>
                <w:lang w:eastAsia="zh-CN"/>
              </w:rPr>
              <w:t>人），具有清扫收集运输运营项目经理证书、安全生产知识和管理能力考核合格证、垃圾（固废）处理及资源化工程师证书的，每人每提供1个证书得1分，每人满分3分，本小项最高得6分。</w:t>
            </w:r>
          </w:p>
          <w:p w14:paraId="214A7AE9">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注：本项目最高得10分。投标文件中须提供相关人员证书复印件，同时提供相关人员投标截止时间前6个月</w:t>
            </w:r>
            <w:r>
              <w:rPr>
                <w:rFonts w:hint="eastAsia" w:ascii="仿宋" w:hAnsi="仿宋" w:eastAsia="仿宋" w:cs="仿宋"/>
                <w:sz w:val="24"/>
                <w:szCs w:val="24"/>
                <w:highlight w:val="none"/>
                <w:lang w:eastAsia="zh-CN"/>
              </w:rPr>
              <w:t>内任意一个月</w:t>
            </w:r>
            <w:r>
              <w:rPr>
                <w:rFonts w:ascii="仿宋" w:hAnsi="仿宋" w:eastAsia="仿宋" w:cs="仿宋"/>
                <w:sz w:val="24"/>
                <w:szCs w:val="24"/>
                <w:highlight w:val="none"/>
                <w:lang w:eastAsia="zh-CN"/>
              </w:rPr>
              <w:t>在投标单位购买社保证明的复印件（代缴个税税单或参加社会保险的《投保单》或《社会保险参保人员证明》等相关证明文件均可）。</w:t>
            </w:r>
          </w:p>
        </w:tc>
        <w:tc>
          <w:tcPr>
            <w:tcW w:w="1028" w:type="dxa"/>
            <w:vAlign w:val="center"/>
          </w:tcPr>
          <w:p w14:paraId="78FD0CC1">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10</w:t>
            </w:r>
          </w:p>
        </w:tc>
      </w:tr>
    </w:tbl>
    <w:p w14:paraId="5FF5644C">
      <w:pPr>
        <w:rPr>
          <w:rFonts w:hint="eastAsia" w:ascii="仿宋" w:hAnsi="仿宋" w:eastAsia="仿宋" w:cs="仿宋"/>
          <w:color w:val="auto"/>
          <w:sz w:val="24"/>
          <w:highlight w:val="none"/>
        </w:rPr>
      </w:pPr>
    </w:p>
    <w:p w14:paraId="5BFDAEA9">
      <w:pPr>
        <w:bidi w:val="0"/>
        <w:jc w:val="left"/>
        <w:rPr>
          <w:rFonts w:hint="eastAsia" w:ascii="仿宋" w:hAnsi="仿宋" w:eastAsia="仿宋" w:cs="仿宋"/>
          <w:color w:val="auto"/>
          <w:sz w:val="24"/>
          <w:szCs w:val="24"/>
          <w:highlight w:val="none"/>
          <w:lang w:val="en-GB"/>
        </w:rPr>
      </w:pPr>
    </w:p>
    <w:p w14:paraId="492D292D">
      <w:pPr>
        <w:pStyle w:val="2"/>
        <w:bidi w:val="0"/>
        <w:spacing w:line="360" w:lineRule="auto"/>
        <w:jc w:val="left"/>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附件5 价格部分评分标准</w:t>
      </w:r>
    </w:p>
    <w:p w14:paraId="2926BCEB">
      <w:pPr>
        <w:pStyle w:val="2"/>
        <w:bidi w:val="0"/>
        <w:spacing w:line="360" w:lineRule="auto"/>
        <w:jc w:val="left"/>
        <w:rPr>
          <w:rFonts w:hint="eastAsia" w:ascii="仿宋" w:hAnsi="仿宋" w:eastAsia="仿宋" w:cs="仿宋"/>
          <w:b w:val="0"/>
          <w:bCs w:val="0"/>
          <w:color w:val="auto"/>
          <w:sz w:val="24"/>
          <w:szCs w:val="24"/>
          <w:highlight w:val="none"/>
          <w:lang w:val="en-GB"/>
        </w:rPr>
      </w:pPr>
      <w:r>
        <w:rPr>
          <w:rFonts w:hint="eastAsia" w:ascii="仿宋" w:hAnsi="仿宋" w:eastAsia="仿宋" w:cs="仿宋"/>
          <w:b w:val="0"/>
          <w:bCs w:val="0"/>
          <w:color w:val="auto"/>
          <w:sz w:val="24"/>
          <w:szCs w:val="24"/>
          <w:highlight w:val="none"/>
          <w:lang w:val="en-GB"/>
        </w:rPr>
        <w:t>1、价格评审占</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val="en-GB"/>
        </w:rPr>
        <w:t>0分。</w:t>
      </w:r>
    </w:p>
    <w:p w14:paraId="42368287">
      <w:pPr>
        <w:pStyle w:val="2"/>
        <w:bidi w:val="0"/>
        <w:spacing w:line="360" w:lineRule="auto"/>
        <w:jc w:val="left"/>
        <w:rPr>
          <w:rFonts w:hint="eastAsia" w:ascii="仿宋" w:hAnsi="仿宋" w:eastAsia="仿宋" w:cs="仿宋"/>
          <w:b w:val="0"/>
          <w:bCs w:val="0"/>
          <w:color w:val="auto"/>
          <w:sz w:val="24"/>
          <w:szCs w:val="24"/>
          <w:highlight w:val="none"/>
          <w:lang w:val="en-GB"/>
        </w:rPr>
      </w:pPr>
      <w:r>
        <w:rPr>
          <w:rFonts w:hint="eastAsia" w:ascii="仿宋" w:hAnsi="仿宋" w:eastAsia="仿宋" w:cs="仿宋"/>
          <w:b w:val="0"/>
          <w:bCs w:val="0"/>
          <w:color w:val="auto"/>
          <w:sz w:val="24"/>
          <w:szCs w:val="24"/>
          <w:highlight w:val="none"/>
          <w:lang w:val="en-GB"/>
        </w:rPr>
        <w:t>2、经评委会审核，满足竞投文件要求，以评审价格的最</w:t>
      </w:r>
      <w:r>
        <w:rPr>
          <w:rFonts w:hint="eastAsia" w:ascii="仿宋" w:hAnsi="仿宋" w:eastAsia="仿宋" w:cs="仿宋"/>
          <w:b w:val="0"/>
          <w:bCs w:val="0"/>
          <w:color w:val="auto"/>
          <w:sz w:val="24"/>
          <w:szCs w:val="24"/>
          <w:highlight w:val="none"/>
          <w:lang w:val="en-US" w:eastAsia="zh-CN"/>
        </w:rPr>
        <w:t>低</w:t>
      </w:r>
      <w:r>
        <w:rPr>
          <w:rFonts w:hint="eastAsia" w:ascii="仿宋" w:hAnsi="仿宋" w:eastAsia="仿宋" w:cs="仿宋"/>
          <w:b w:val="0"/>
          <w:bCs w:val="0"/>
          <w:color w:val="auto"/>
          <w:sz w:val="24"/>
          <w:szCs w:val="24"/>
          <w:highlight w:val="none"/>
          <w:lang w:val="en-GB"/>
        </w:rPr>
        <w:t>价者定为评审基准价，其价格分为满分。</w:t>
      </w:r>
    </w:p>
    <w:p w14:paraId="1EACE11F">
      <w:pPr>
        <w:pStyle w:val="2"/>
        <w:bidi w:val="0"/>
        <w:spacing w:line="360" w:lineRule="auto"/>
        <w:jc w:val="left"/>
        <w:rPr>
          <w:rFonts w:hint="eastAsia" w:ascii="仿宋" w:hAnsi="仿宋" w:eastAsia="仿宋" w:cs="仿宋"/>
          <w:b w:val="0"/>
          <w:bCs w:val="0"/>
          <w:color w:val="auto"/>
          <w:sz w:val="24"/>
          <w:szCs w:val="24"/>
          <w:highlight w:val="none"/>
          <w:lang w:val="en-GB"/>
        </w:rPr>
      </w:pPr>
      <w:r>
        <w:rPr>
          <w:rFonts w:hint="eastAsia" w:ascii="仿宋" w:hAnsi="仿宋" w:eastAsia="仿宋" w:cs="仿宋"/>
          <w:b w:val="0"/>
          <w:bCs w:val="0"/>
          <w:color w:val="auto"/>
          <w:sz w:val="24"/>
          <w:szCs w:val="24"/>
          <w:highlight w:val="none"/>
          <w:lang w:val="en-GB"/>
        </w:rPr>
        <w:t>3、其他</w:t>
      </w:r>
      <w:r>
        <w:rPr>
          <w:rFonts w:hint="eastAsia" w:ascii="仿宋" w:hAnsi="仿宋" w:eastAsia="仿宋" w:cs="仿宋"/>
          <w:b w:val="0"/>
          <w:bCs w:val="0"/>
          <w:color w:val="auto"/>
          <w:sz w:val="24"/>
          <w:szCs w:val="24"/>
          <w:highlight w:val="none"/>
          <w:lang w:val="en-GB" w:eastAsia="zh-CN"/>
        </w:rPr>
        <w:t>投标人</w:t>
      </w:r>
      <w:r>
        <w:rPr>
          <w:rFonts w:hint="eastAsia" w:ascii="仿宋" w:hAnsi="仿宋" w:eastAsia="仿宋" w:cs="仿宋"/>
          <w:b w:val="0"/>
          <w:bCs w:val="0"/>
          <w:color w:val="auto"/>
          <w:sz w:val="24"/>
          <w:szCs w:val="24"/>
          <w:highlight w:val="none"/>
          <w:lang w:val="en-GB"/>
        </w:rPr>
        <w:t>的价格得分＝（评审基准价/评审价格）×100*</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val="en-GB"/>
        </w:rPr>
        <w:t>0%</w:t>
      </w:r>
    </w:p>
    <w:p w14:paraId="7E423376">
      <w:pPr>
        <w:pStyle w:val="2"/>
        <w:bidi w:val="0"/>
        <w:spacing w:line="360" w:lineRule="auto"/>
        <w:jc w:val="left"/>
        <w:rPr>
          <w:rFonts w:hint="eastAsia" w:ascii="仿宋" w:hAnsi="仿宋" w:eastAsia="仿宋" w:cs="仿宋"/>
          <w:b w:val="0"/>
          <w:bCs w:val="0"/>
          <w:color w:val="auto"/>
          <w:kern w:val="44"/>
          <w:sz w:val="36"/>
          <w:szCs w:val="44"/>
          <w:highlight w:val="none"/>
        </w:rPr>
      </w:pPr>
      <w:r>
        <w:rPr>
          <w:rFonts w:hint="eastAsia" w:ascii="仿宋" w:hAnsi="仿宋" w:eastAsia="仿宋" w:cs="仿宋"/>
          <w:b w:val="0"/>
          <w:bCs w:val="0"/>
          <w:color w:val="auto"/>
          <w:sz w:val="24"/>
          <w:szCs w:val="24"/>
          <w:highlight w:val="none"/>
          <w:lang w:val="en-GB"/>
        </w:rPr>
        <w:t>4、评审价格：如无发生竞投文件规定的报价文件报价修正情形，则评审价格为竞投报价；如发生竞投文件规定的报价文件报价修正情形，则评审价格为修正后的竞投报价。</w:t>
      </w:r>
      <w:r>
        <w:rPr>
          <w:rFonts w:hint="eastAsia" w:ascii="仿宋" w:hAnsi="仿宋" w:eastAsia="仿宋" w:cs="仿宋"/>
          <w:color w:val="auto"/>
          <w:sz w:val="24"/>
          <w:szCs w:val="24"/>
          <w:highlight w:val="none"/>
          <w:lang w:val="en-GB"/>
        </w:rPr>
        <w:br w:type="page"/>
      </w:r>
      <w:bookmarkStart w:id="103" w:name="_Toc14342"/>
      <w:r>
        <w:rPr>
          <w:rFonts w:hint="eastAsia" w:ascii="仿宋" w:hAnsi="仿宋" w:eastAsia="仿宋" w:cs="仿宋"/>
          <w:b/>
          <w:bCs/>
          <w:color w:val="auto"/>
          <w:kern w:val="0"/>
          <w:sz w:val="36"/>
          <w:szCs w:val="36"/>
          <w:highlight w:val="none"/>
        </w:rPr>
        <w:t>附件二  外包装封面参考格式</w:t>
      </w:r>
      <w:bookmarkEnd w:id="97"/>
      <w:bookmarkEnd w:id="98"/>
      <w:bookmarkEnd w:id="99"/>
      <w:bookmarkEnd w:id="100"/>
      <w:bookmarkEnd w:id="101"/>
      <w:bookmarkEnd w:id="102"/>
      <w:bookmarkEnd w:id="103"/>
    </w:p>
    <w:tbl>
      <w:tblPr>
        <w:tblStyle w:val="23"/>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5"/>
      </w:tblGrid>
      <w:tr w14:paraId="3859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5" w:hRule="atLeast"/>
        </w:trPr>
        <w:tc>
          <w:tcPr>
            <w:tcW w:w="9215" w:type="dxa"/>
            <w:vAlign w:val="top"/>
          </w:tcPr>
          <w:p w14:paraId="0FF26339">
            <w:pPr>
              <w:pStyle w:val="12"/>
              <w:keepNext w:val="0"/>
              <w:keepLines w:val="0"/>
              <w:suppressLineNumbers w:val="0"/>
              <w:tabs>
                <w:tab w:val="left" w:pos="1260"/>
              </w:tabs>
              <w:wordWrap w:val="0"/>
              <w:adjustRightInd w:val="0"/>
              <w:snapToGrid w:val="0"/>
              <w:spacing w:before="0" w:beforeAutospacing="0" w:after="0" w:afterAutospacing="0" w:line="360" w:lineRule="auto"/>
              <w:ind w:left="0" w:right="0"/>
              <w:rPr>
                <w:rFonts w:hint="eastAsia" w:ascii="仿宋" w:hAnsi="仿宋" w:eastAsia="仿宋" w:cs="仿宋"/>
                <w:b/>
                <w:color w:val="auto"/>
                <w:spacing w:val="100"/>
                <w:w w:val="110"/>
                <w:kern w:val="0"/>
                <w:sz w:val="44"/>
                <w:szCs w:val="44"/>
                <w:highlight w:val="none"/>
              </w:rPr>
            </w:pPr>
          </w:p>
          <w:p w14:paraId="192E696E">
            <w:pPr>
              <w:pStyle w:val="12"/>
              <w:keepNext w:val="0"/>
              <w:keepLines w:val="0"/>
              <w:suppressLineNumbers w:val="0"/>
              <w:tabs>
                <w:tab w:val="left" w:pos="1260"/>
              </w:tabs>
              <w:wordWrap w:val="0"/>
              <w:adjustRightInd w:val="0"/>
              <w:snapToGrid w:val="0"/>
              <w:spacing w:before="0" w:beforeAutospacing="0" w:after="0" w:afterAutospacing="0" w:line="360" w:lineRule="auto"/>
              <w:ind w:left="0" w:right="0"/>
              <w:rPr>
                <w:rFonts w:hint="eastAsia" w:ascii="仿宋" w:hAnsi="仿宋" w:eastAsia="仿宋" w:cs="仿宋"/>
                <w:b/>
                <w:color w:val="auto"/>
                <w:spacing w:val="100"/>
                <w:w w:val="110"/>
                <w:kern w:val="0"/>
                <w:sz w:val="44"/>
                <w:szCs w:val="44"/>
                <w:highlight w:val="none"/>
              </w:rPr>
            </w:pPr>
          </w:p>
          <w:p w14:paraId="49CD06D9">
            <w:pPr>
              <w:pStyle w:val="12"/>
              <w:keepNext w:val="0"/>
              <w:keepLines w:val="0"/>
              <w:suppressLineNumbers w:val="0"/>
              <w:tabs>
                <w:tab w:val="left" w:pos="1260"/>
              </w:tabs>
              <w:wordWrap w:val="0"/>
              <w:adjustRightInd w:val="0"/>
              <w:snapToGrid w:val="0"/>
              <w:spacing w:before="0" w:beforeAutospacing="0" w:after="0" w:afterAutospacing="0" w:line="360" w:lineRule="auto"/>
              <w:ind w:left="0" w:right="0"/>
              <w:jc w:val="center"/>
              <w:rPr>
                <w:rFonts w:hint="eastAsia" w:ascii="仿宋" w:hAnsi="仿宋" w:eastAsia="仿宋" w:cs="仿宋"/>
                <w:b/>
                <w:color w:val="auto"/>
                <w:spacing w:val="100"/>
                <w:w w:val="110"/>
                <w:sz w:val="44"/>
                <w:szCs w:val="44"/>
                <w:highlight w:val="none"/>
                <w:lang w:eastAsia="zh-CN"/>
              </w:rPr>
            </w:pPr>
            <w:bookmarkStart w:id="104" w:name="OLE_LINK51"/>
            <w:r>
              <w:rPr>
                <w:rFonts w:hint="eastAsia" w:ascii="仿宋" w:hAnsi="仿宋" w:eastAsia="仿宋" w:cs="仿宋"/>
                <w:b/>
                <w:color w:val="auto"/>
                <w:spacing w:val="100"/>
                <w:w w:val="110"/>
                <w:kern w:val="0"/>
                <w:sz w:val="44"/>
                <w:szCs w:val="44"/>
                <w:highlight w:val="none"/>
                <w:lang w:eastAsia="zh-CN"/>
              </w:rPr>
              <w:t>投标文件</w:t>
            </w:r>
          </w:p>
          <w:p w14:paraId="6F5430E7">
            <w:pPr>
              <w:pStyle w:val="12"/>
              <w:keepNext w:val="0"/>
              <w:keepLines w:val="0"/>
              <w:suppressLineNumbers w:val="0"/>
              <w:tabs>
                <w:tab w:val="left" w:pos="1260"/>
              </w:tabs>
              <w:wordWrap w:val="0"/>
              <w:adjustRightInd w:val="0"/>
              <w:snapToGrid w:val="0"/>
              <w:spacing w:before="0" w:beforeAutospacing="0" w:after="0" w:afterAutospacing="0" w:line="360" w:lineRule="auto"/>
              <w:ind w:left="0" w:right="0"/>
              <w:jc w:val="center"/>
              <w:rPr>
                <w:rFonts w:hint="eastAsia" w:ascii="仿宋" w:hAnsi="仿宋" w:eastAsia="仿宋" w:cs="仿宋"/>
                <w:b/>
                <w:color w:val="auto"/>
                <w:spacing w:val="100"/>
                <w:w w:val="110"/>
                <w:kern w:val="0"/>
                <w:sz w:val="44"/>
                <w:szCs w:val="44"/>
                <w:highlight w:val="none"/>
              </w:rPr>
            </w:pPr>
            <w:r>
              <w:rPr>
                <w:rFonts w:hint="eastAsia" w:ascii="仿宋" w:hAnsi="仿宋" w:eastAsia="仿宋" w:cs="仿宋"/>
                <w:b/>
                <w:color w:val="auto"/>
                <w:spacing w:val="100"/>
                <w:w w:val="110"/>
                <w:kern w:val="0"/>
                <w:sz w:val="44"/>
                <w:szCs w:val="44"/>
                <w:highlight w:val="none"/>
              </w:rPr>
              <w:t>/开标一览表</w:t>
            </w:r>
          </w:p>
          <w:p w14:paraId="1A2466BB">
            <w:pPr>
              <w:pStyle w:val="12"/>
              <w:keepNext w:val="0"/>
              <w:keepLines w:val="0"/>
              <w:suppressLineNumbers w:val="0"/>
              <w:tabs>
                <w:tab w:val="left" w:pos="1260"/>
              </w:tabs>
              <w:wordWrap w:val="0"/>
              <w:adjustRightInd w:val="0"/>
              <w:snapToGrid w:val="0"/>
              <w:spacing w:before="0" w:beforeAutospacing="0" w:after="0" w:afterAutospacing="0" w:line="360" w:lineRule="auto"/>
              <w:ind w:left="0" w:right="0"/>
              <w:jc w:val="center"/>
              <w:rPr>
                <w:rFonts w:hint="eastAsia" w:ascii="仿宋" w:hAnsi="仿宋" w:eastAsia="仿宋" w:cs="仿宋"/>
                <w:b/>
                <w:color w:val="auto"/>
                <w:spacing w:val="100"/>
                <w:w w:val="110"/>
                <w:kern w:val="0"/>
                <w:sz w:val="44"/>
                <w:szCs w:val="44"/>
                <w:highlight w:val="none"/>
              </w:rPr>
            </w:pPr>
            <w:r>
              <w:rPr>
                <w:rFonts w:hint="eastAsia" w:ascii="仿宋" w:hAnsi="仿宋" w:eastAsia="仿宋" w:cs="仿宋"/>
                <w:b/>
                <w:color w:val="auto"/>
                <w:spacing w:val="100"/>
                <w:w w:val="110"/>
                <w:kern w:val="0"/>
                <w:sz w:val="44"/>
                <w:szCs w:val="44"/>
                <w:highlight w:val="none"/>
              </w:rPr>
              <w:t>/</w:t>
            </w:r>
            <w:r>
              <w:rPr>
                <w:rFonts w:hint="eastAsia" w:ascii="仿宋" w:hAnsi="仿宋" w:eastAsia="仿宋" w:cs="仿宋"/>
                <w:b/>
                <w:color w:val="auto"/>
                <w:spacing w:val="100"/>
                <w:w w:val="110"/>
                <w:kern w:val="0"/>
                <w:sz w:val="44"/>
                <w:szCs w:val="44"/>
                <w:highlight w:val="none"/>
                <w:lang w:eastAsia="zh-CN"/>
              </w:rPr>
              <w:t>投标文件</w:t>
            </w:r>
            <w:r>
              <w:rPr>
                <w:rFonts w:hint="eastAsia" w:ascii="仿宋" w:hAnsi="仿宋" w:eastAsia="仿宋" w:cs="仿宋"/>
                <w:b/>
                <w:color w:val="auto"/>
                <w:spacing w:val="100"/>
                <w:w w:val="110"/>
                <w:kern w:val="0"/>
                <w:sz w:val="44"/>
                <w:szCs w:val="44"/>
                <w:highlight w:val="none"/>
              </w:rPr>
              <w:t>电子版</w:t>
            </w:r>
            <w:bookmarkEnd w:id="104"/>
          </w:p>
          <w:p w14:paraId="13EC51D7">
            <w:pPr>
              <w:pStyle w:val="12"/>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b/>
                <w:color w:val="auto"/>
                <w:sz w:val="28"/>
                <w:szCs w:val="28"/>
                <w:highlight w:val="none"/>
              </w:rPr>
            </w:pPr>
          </w:p>
          <w:p w14:paraId="0AEC7DA3">
            <w:pPr>
              <w:pStyle w:val="12"/>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b/>
                <w:color w:val="auto"/>
                <w:sz w:val="28"/>
                <w:szCs w:val="28"/>
                <w:highlight w:val="none"/>
              </w:rPr>
            </w:pPr>
          </w:p>
          <w:p w14:paraId="27F11E66">
            <w:pPr>
              <w:pStyle w:val="12"/>
              <w:keepNext w:val="0"/>
              <w:keepLines w:val="0"/>
              <w:suppressLineNumbers w:val="0"/>
              <w:wordWrap w:val="0"/>
              <w:adjustRightInd w:val="0"/>
              <w:snapToGrid w:val="0"/>
              <w:spacing w:before="0" w:beforeAutospacing="0" w:after="0" w:afterAutospacing="0" w:line="360" w:lineRule="auto"/>
              <w:ind w:left="1260" w:leftChars="600" w:right="0"/>
              <w:rPr>
                <w:rFonts w:hint="eastAsia" w:ascii="仿宋" w:hAnsi="仿宋" w:eastAsia="仿宋" w:cs="仿宋"/>
                <w:b/>
                <w:color w:val="auto"/>
                <w:sz w:val="28"/>
                <w:szCs w:val="28"/>
                <w:highlight w:val="none"/>
                <w:u w:val="single"/>
                <w:lang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u w:val="single"/>
                <w:lang w:eastAsia="zh-CN"/>
              </w:rPr>
              <w:t xml:space="preserve">JG       </w:t>
            </w:r>
          </w:p>
          <w:p w14:paraId="4957E44B">
            <w:pPr>
              <w:pStyle w:val="12"/>
              <w:keepNext w:val="0"/>
              <w:keepLines w:val="0"/>
              <w:suppressLineNumbers w:val="0"/>
              <w:wordWrap w:val="0"/>
              <w:adjustRightInd w:val="0"/>
              <w:snapToGrid w:val="0"/>
              <w:spacing w:before="0" w:beforeAutospacing="0" w:after="0" w:afterAutospacing="0" w:line="360" w:lineRule="auto"/>
              <w:ind w:left="1260" w:leftChars="600" w:right="0"/>
              <w:rPr>
                <w:rFonts w:hint="eastAsia" w:ascii="仿宋" w:hAnsi="仿宋" w:eastAsia="仿宋" w:cs="仿宋"/>
                <w:b/>
                <w:color w:val="auto"/>
                <w:sz w:val="28"/>
                <w:szCs w:val="28"/>
                <w:highlight w:val="none"/>
              </w:rPr>
            </w:pPr>
          </w:p>
          <w:p w14:paraId="0D0B7DF0">
            <w:pPr>
              <w:pStyle w:val="12"/>
              <w:keepNext w:val="0"/>
              <w:keepLines w:val="0"/>
              <w:suppressLineNumbers w:val="0"/>
              <w:wordWrap w:val="0"/>
              <w:adjustRightInd w:val="0"/>
              <w:snapToGrid w:val="0"/>
              <w:spacing w:before="0" w:beforeAutospacing="0" w:after="0" w:afterAutospacing="0" w:line="360" w:lineRule="auto"/>
              <w:ind w:left="1260" w:leftChars="600" w:right="1018" w:rightChars="485"/>
              <w:rPr>
                <w:rFonts w:hint="eastAsia" w:ascii="仿宋" w:hAnsi="仿宋" w:eastAsia="仿宋" w:cs="仿宋"/>
                <w:b/>
                <w:color w:val="auto"/>
                <w:sz w:val="28"/>
                <w:szCs w:val="28"/>
                <w:highlight w:val="none"/>
                <w:u w:val="single"/>
                <w:lang w:eastAsia="zh-CN"/>
              </w:rPr>
            </w:pPr>
            <w:r>
              <w:rPr>
                <w:rFonts w:hint="eastAsia" w:ascii="仿宋" w:hAnsi="仿宋" w:eastAsia="仿宋" w:cs="仿宋"/>
                <w:b/>
                <w:color w:val="auto"/>
                <w:sz w:val="28"/>
                <w:szCs w:val="28"/>
                <w:highlight w:val="none"/>
              </w:rPr>
              <w:t>项目名称：</w:t>
            </w:r>
            <w:r>
              <w:rPr>
                <w:rFonts w:hint="eastAsia" w:ascii="仿宋" w:hAnsi="仿宋" w:eastAsia="仿宋" w:cs="仿宋"/>
                <w:b/>
                <w:color w:val="auto"/>
                <w:sz w:val="28"/>
                <w:szCs w:val="28"/>
                <w:highlight w:val="none"/>
                <w:u w:val="single"/>
                <w:lang w:eastAsia="zh-CN"/>
              </w:rPr>
              <w:t>桂城街道叠北社区市政管理一体化服务</w:t>
            </w:r>
          </w:p>
          <w:p w14:paraId="0E3AFAE4">
            <w:pPr>
              <w:pStyle w:val="12"/>
              <w:keepNext w:val="0"/>
              <w:keepLines w:val="0"/>
              <w:suppressLineNumbers w:val="0"/>
              <w:wordWrap w:val="0"/>
              <w:adjustRightInd w:val="0"/>
              <w:snapToGrid w:val="0"/>
              <w:spacing w:before="0" w:beforeAutospacing="0" w:after="0" w:afterAutospacing="0" w:line="360" w:lineRule="auto"/>
              <w:ind w:left="1260" w:leftChars="600" w:right="0"/>
              <w:rPr>
                <w:rFonts w:hint="eastAsia" w:ascii="仿宋" w:hAnsi="仿宋" w:eastAsia="仿宋" w:cs="仿宋"/>
                <w:b/>
                <w:color w:val="auto"/>
                <w:sz w:val="28"/>
                <w:szCs w:val="28"/>
                <w:highlight w:val="none"/>
              </w:rPr>
            </w:pPr>
          </w:p>
          <w:p w14:paraId="0E323307">
            <w:pPr>
              <w:pStyle w:val="12"/>
              <w:keepNext w:val="0"/>
              <w:keepLines w:val="0"/>
              <w:suppressLineNumbers w:val="0"/>
              <w:wordWrap w:val="0"/>
              <w:adjustRightInd w:val="0"/>
              <w:snapToGrid w:val="0"/>
              <w:spacing w:before="0" w:beforeAutospacing="0" w:after="0" w:afterAutospacing="0" w:line="360" w:lineRule="auto"/>
              <w:ind w:left="1260" w:leftChars="600" w:right="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lang w:eastAsia="zh-CN"/>
              </w:rPr>
              <w:t>投标人</w:t>
            </w:r>
            <w:r>
              <w:rPr>
                <w:rFonts w:hint="eastAsia" w:ascii="仿宋" w:hAnsi="仿宋" w:eastAsia="仿宋" w:cs="仿宋"/>
                <w:b/>
                <w:color w:val="auto"/>
                <w:sz w:val="28"/>
                <w:szCs w:val="28"/>
                <w:highlight w:val="none"/>
              </w:rPr>
              <w:t>名称：</w:t>
            </w:r>
            <w:r>
              <w:rPr>
                <w:rFonts w:hint="eastAsia" w:ascii="仿宋" w:hAnsi="仿宋" w:eastAsia="仿宋" w:cs="仿宋"/>
                <w:b/>
                <w:color w:val="auto"/>
                <w:sz w:val="28"/>
                <w:szCs w:val="28"/>
                <w:highlight w:val="none"/>
                <w:u w:val="single"/>
              </w:rPr>
              <w:t xml:space="preserve">              </w:t>
            </w:r>
          </w:p>
          <w:p w14:paraId="7995CE30">
            <w:pPr>
              <w:keepNext w:val="0"/>
              <w:keepLines w:val="0"/>
              <w:suppressLineNumbers w:val="0"/>
              <w:wordWrap w:val="0"/>
              <w:adjustRightInd w:val="0"/>
              <w:snapToGrid w:val="0"/>
              <w:spacing w:before="0" w:beforeAutospacing="0" w:after="0" w:afterAutospacing="0" w:line="360" w:lineRule="auto"/>
              <w:ind w:left="1260" w:leftChars="600" w:right="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投标人</w:t>
            </w:r>
            <w:r>
              <w:rPr>
                <w:rFonts w:hint="eastAsia" w:ascii="仿宋" w:hAnsi="仿宋" w:eastAsia="仿宋" w:cs="仿宋"/>
                <w:b/>
                <w:color w:val="auto"/>
                <w:sz w:val="28"/>
                <w:szCs w:val="28"/>
                <w:highlight w:val="none"/>
              </w:rPr>
              <w:t>地址：</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 xml:space="preserve">      </w:t>
            </w:r>
          </w:p>
          <w:p w14:paraId="4A29BF36">
            <w:pPr>
              <w:keepNext w:val="0"/>
              <w:keepLines w:val="0"/>
              <w:suppressLineNumbers w:val="0"/>
              <w:wordWrap w:val="0"/>
              <w:adjustRightInd w:val="0"/>
              <w:snapToGrid w:val="0"/>
              <w:spacing w:before="0" w:beforeAutospacing="0" w:after="0" w:afterAutospacing="0" w:line="360" w:lineRule="auto"/>
              <w:ind w:left="1260" w:leftChars="600" w:right="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联系电话：</w:t>
            </w:r>
            <w:r>
              <w:rPr>
                <w:rFonts w:hint="eastAsia" w:ascii="仿宋" w:hAnsi="仿宋" w:eastAsia="仿宋" w:cs="仿宋"/>
                <w:b/>
                <w:color w:val="auto"/>
                <w:sz w:val="28"/>
                <w:szCs w:val="28"/>
                <w:highlight w:val="none"/>
                <w:u w:val="single"/>
              </w:rPr>
              <w:t xml:space="preserve">                </w:t>
            </w:r>
          </w:p>
          <w:p w14:paraId="4DC7B917">
            <w:pPr>
              <w:keepNext w:val="0"/>
              <w:keepLines w:val="0"/>
              <w:suppressLineNumbers w:val="0"/>
              <w:wordWrap w:val="0"/>
              <w:adjustRightInd w:val="0"/>
              <w:snapToGrid w:val="0"/>
              <w:spacing w:before="0" w:beforeAutospacing="0" w:after="0" w:afterAutospacing="0" w:line="360" w:lineRule="auto"/>
              <w:ind w:left="1260" w:leftChars="600" w:right="0"/>
              <w:rPr>
                <w:rFonts w:hint="eastAsia" w:ascii="仿宋" w:hAnsi="仿宋" w:eastAsia="仿宋" w:cs="仿宋"/>
                <w:color w:val="auto"/>
                <w:highlight w:val="none"/>
              </w:rPr>
            </w:pPr>
            <w:r>
              <w:rPr>
                <w:rFonts w:hint="eastAsia" w:ascii="仿宋" w:hAnsi="仿宋" w:eastAsia="仿宋" w:cs="仿宋"/>
                <w:b/>
                <w:color w:val="auto"/>
                <w:sz w:val="28"/>
                <w:szCs w:val="28"/>
                <w:highlight w:val="none"/>
              </w:rPr>
              <w:t>在2025年  月  日  时  分之前不得启封</w:t>
            </w:r>
          </w:p>
        </w:tc>
      </w:tr>
    </w:tbl>
    <w:p w14:paraId="31CE58FE">
      <w:pPr>
        <w:wordWrap w:val="0"/>
        <w:adjustRightInd w:val="0"/>
        <w:snapToGrid w:val="0"/>
        <w:spacing w:line="360" w:lineRule="auto"/>
        <w:ind w:firstLine="630" w:firstLineChars="300"/>
        <w:rPr>
          <w:rFonts w:hint="eastAsia" w:ascii="仿宋" w:hAnsi="仿宋" w:eastAsia="仿宋" w:cs="仿宋"/>
          <w:color w:val="auto"/>
          <w:highlight w:val="none"/>
        </w:rPr>
      </w:pPr>
      <w:r>
        <w:rPr>
          <w:rFonts w:hint="eastAsia" w:ascii="仿宋" w:hAnsi="仿宋" w:eastAsia="仿宋" w:cs="仿宋"/>
          <w:color w:val="auto"/>
          <w:highlight w:val="none"/>
        </w:rPr>
        <w:t>注：以上</w:t>
      </w:r>
      <w:bookmarkStart w:id="105" w:name="OLE_LINK52"/>
      <w:r>
        <w:rPr>
          <w:rFonts w:hint="eastAsia" w:ascii="仿宋" w:hAnsi="仿宋" w:eastAsia="仿宋" w:cs="仿宋"/>
          <w:color w:val="auto"/>
          <w:highlight w:val="none"/>
        </w:rPr>
        <w:t>“</w:t>
      </w:r>
      <w:r>
        <w:rPr>
          <w:rFonts w:hint="eastAsia" w:ascii="仿宋" w:hAnsi="仿宋" w:eastAsia="仿宋" w:cs="仿宋"/>
          <w:color w:val="auto"/>
          <w:highlight w:val="none"/>
          <w:lang w:eastAsia="zh-CN"/>
        </w:rPr>
        <w:t>投标文件</w:t>
      </w:r>
      <w:r>
        <w:rPr>
          <w:rFonts w:hint="eastAsia" w:ascii="仿宋" w:hAnsi="仿宋" w:eastAsia="仿宋" w:cs="仿宋"/>
          <w:color w:val="auto"/>
          <w:highlight w:val="none"/>
        </w:rPr>
        <w:t>/开标一览表/</w:t>
      </w:r>
      <w:r>
        <w:rPr>
          <w:rFonts w:hint="eastAsia" w:ascii="仿宋" w:hAnsi="仿宋" w:eastAsia="仿宋" w:cs="仿宋"/>
          <w:color w:val="auto"/>
          <w:highlight w:val="none"/>
          <w:lang w:eastAsia="zh-CN"/>
        </w:rPr>
        <w:t>投标文件</w:t>
      </w:r>
      <w:r>
        <w:rPr>
          <w:rFonts w:hint="eastAsia" w:ascii="仿宋" w:hAnsi="仿宋" w:eastAsia="仿宋" w:cs="仿宋"/>
          <w:color w:val="auto"/>
          <w:highlight w:val="none"/>
        </w:rPr>
        <w:t>电子版”</w:t>
      </w:r>
      <w:bookmarkEnd w:id="105"/>
      <w:r>
        <w:rPr>
          <w:rFonts w:hint="eastAsia" w:ascii="仿宋" w:hAnsi="仿宋" w:eastAsia="仿宋" w:cs="仿宋"/>
          <w:color w:val="auto"/>
          <w:highlight w:val="none"/>
        </w:rPr>
        <w:t>标记的位置，根据“</w:t>
      </w:r>
      <w:r>
        <w:rPr>
          <w:rFonts w:hint="eastAsia" w:ascii="仿宋" w:hAnsi="仿宋" w:eastAsia="仿宋" w:cs="仿宋"/>
          <w:color w:val="auto"/>
          <w:highlight w:val="none"/>
          <w:lang w:eastAsia="zh-CN"/>
        </w:rPr>
        <w:t>投标文件</w:t>
      </w:r>
      <w:r>
        <w:rPr>
          <w:rFonts w:hint="eastAsia" w:ascii="仿宋" w:hAnsi="仿宋" w:eastAsia="仿宋" w:cs="仿宋"/>
          <w:color w:val="auto"/>
          <w:highlight w:val="none"/>
        </w:rPr>
        <w:t>”、“开标一览表”、“</w:t>
      </w:r>
      <w:r>
        <w:rPr>
          <w:rFonts w:hint="eastAsia" w:ascii="仿宋" w:hAnsi="仿宋" w:eastAsia="仿宋" w:cs="仿宋"/>
          <w:color w:val="auto"/>
          <w:highlight w:val="none"/>
          <w:lang w:eastAsia="zh-CN"/>
        </w:rPr>
        <w:t>投标文件</w:t>
      </w:r>
      <w:r>
        <w:rPr>
          <w:rFonts w:hint="eastAsia" w:ascii="仿宋" w:hAnsi="仿宋" w:eastAsia="仿宋" w:cs="仿宋"/>
          <w:color w:val="auto"/>
          <w:highlight w:val="none"/>
        </w:rPr>
        <w:t>电子版”实际内容分别标记于不同信封或文件袋中。</w:t>
      </w:r>
    </w:p>
    <w:p w14:paraId="0829DEC1">
      <w:pPr>
        <w:wordWrap w:val="0"/>
        <w:adjustRightInd w:val="0"/>
        <w:snapToGrid w:val="0"/>
        <w:rPr>
          <w:rFonts w:hint="eastAsia" w:ascii="仿宋" w:hAnsi="仿宋" w:eastAsia="仿宋" w:cs="仿宋"/>
          <w:b/>
          <w:bCs/>
          <w:color w:val="auto"/>
          <w:sz w:val="24"/>
          <w:highlight w:val="none"/>
        </w:rPr>
      </w:pPr>
    </w:p>
    <w:p w14:paraId="62B5F09C">
      <w:pPr>
        <w:wordWrap w:val="0"/>
        <w:rPr>
          <w:rFonts w:hint="eastAsia" w:ascii="仿宋" w:hAnsi="仿宋" w:eastAsia="仿宋" w:cs="仿宋"/>
          <w:color w:val="auto"/>
          <w:highlight w:val="none"/>
        </w:rPr>
      </w:pPr>
    </w:p>
    <w:p w14:paraId="39A3C8BB">
      <w:pPr>
        <w:wordWrap w:val="0"/>
        <w:rPr>
          <w:rFonts w:hint="eastAsia" w:ascii="仿宋" w:hAnsi="仿宋" w:eastAsia="仿宋" w:cs="仿宋"/>
          <w:color w:val="auto"/>
          <w:highlight w:val="none"/>
        </w:rPr>
      </w:pPr>
    </w:p>
    <w:sectPr>
      <w:footerReference r:id="rId19" w:type="first"/>
      <w:headerReference r:id="rId17" w:type="default"/>
      <w:footerReference r:id="rId18" w:type="default"/>
      <w:pgSz w:w="11906" w:h="16838"/>
      <w:pgMar w:top="1440" w:right="1468" w:bottom="1440" w:left="1440" w:header="850"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178E8">
    <w:pPr>
      <w:rPr>
        <w:rFonts w:hint="eastAsia" w:ascii="仿宋" w:hAnsi="仿宋" w:eastAsia="仿宋" w:cs="仿宋"/>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AF708">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5EAF708">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F97AF">
    <w:pPr>
      <w:pStyle w:val="15"/>
      <w:framePr w:wrap="around" w:vAnchor="text" w:hAnchor="margin" w:xAlign="right" w:y="1"/>
      <w:rPr>
        <w:rStyle w:val="26"/>
      </w:rPr>
    </w:pPr>
    <w:r>
      <w:rPr>
        <w:rStyle w:val="26"/>
      </w:rPr>
      <w:t>135164</w:t>
    </w:r>
  </w:p>
  <w:p w14:paraId="2D790312">
    <w:pPr>
      <w:pStyle w:val="15"/>
      <w:ind w:right="360"/>
    </w:pPr>
  </w:p>
  <w:p w14:paraId="5B034FD5"/>
  <w:p w14:paraId="0FA83C4F">
    <w:pPr>
      <w:pStyle w:val="15"/>
      <w:ind w:right="360"/>
      <w:jc w:val="center"/>
      <w:rPr>
        <w:rStyle w:val="26"/>
      </w:rPr>
    </w:pPr>
    <w:r>
      <w:rPr>
        <w:rStyle w:val="26"/>
      </w:rPr>
      <w:t>164AGE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0106A">
    <w:pPr>
      <w:pStyle w:val="15"/>
      <w:jc w:val="both"/>
      <w:rPr>
        <w:rStyle w:val="26"/>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71AEF">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2471AEF">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C67F3">
    <w:pPr>
      <w:tabs>
        <w:tab w:val="left" w:pos="5044"/>
      </w:tabs>
      <w:rPr>
        <w:rFonts w:hint="eastAsia" w:ascii="仿宋" w:hAnsi="仿宋" w:eastAsia="仿宋" w:cs="仿宋"/>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72758">
                          <w:pPr>
                            <w:pStyle w:val="15"/>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6972758">
                    <w:pPr>
                      <w:pStyle w:val="15"/>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r>
      <w:rPr>
        <w:rFonts w:hint="eastAsia" w:ascii="仿宋" w:hAnsi="仿宋" w:eastAsia="仿宋" w:cs="仿宋"/>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93426">
    <w:pPr>
      <w:pStyle w:val="15"/>
      <w:jc w:val="both"/>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E6F2C">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21E6F2C">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E0AD8">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BE7F4">
                          <w:pPr>
                            <w:pStyle w:val="15"/>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FFBE7F4">
                    <w:pPr>
                      <w:pStyle w:val="15"/>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5602">
    <w:pPr>
      <w:pStyle w:val="15"/>
      <w:jc w:val="center"/>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415CF">
                          <w:pPr>
                            <w:pStyle w:val="15"/>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96415CF">
                    <w:pPr>
                      <w:pStyle w:val="15"/>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82D43">
    <w:pPr>
      <w:pStyle w:val="15"/>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82B38">
                          <w:pPr>
                            <w:pStyle w:val="15"/>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9682B38">
                    <w:pPr>
                      <w:pStyle w:val="15"/>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r>
      <w:rPr>
        <w:rFonts w:ascii="宋体" w:hAnsi="宋体"/>
        <w:sz w:val="20"/>
      </w:rPr>
      <mc:AlternateContent>
        <mc:Choice Requires="wps">
          <w:drawing>
            <wp:anchor distT="0" distB="0" distL="114300" distR="114300" simplePos="0" relativeHeight="251661312" behindDoc="0" locked="0" layoutInCell="1" allowOverlap="1">
              <wp:simplePos x="0" y="0"/>
              <wp:positionH relativeFrom="column">
                <wp:posOffset>-144145</wp:posOffset>
              </wp:positionH>
              <wp:positionV relativeFrom="paragraph">
                <wp:posOffset>-127635</wp:posOffset>
              </wp:positionV>
              <wp:extent cx="635" cy="635"/>
              <wp:effectExtent l="0" t="0" r="0" b="0"/>
              <wp:wrapNone/>
              <wp:docPr id="8" name="Line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 o:spid="_x0000_s1026" o:spt="20" style="position:absolute;left:0pt;margin-left:-11.35pt;margin-top:-10.05pt;height:0.05pt;width:0.05pt;z-index:251661312;mso-width-relative:page;mso-height-relative:page;" filled="f" stroked="t" coordsize="21600,21600" o:gfxdata="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DJu/s1gAAAAsBAAAPAAAAAAAAAAEAIAAAACIA&#10;AABkcnMvZG93bnJldi54bWxQSwECFAAUAAAACACHTuJAhk0389IBAADZAwAADgAAAAAAAAABACAA&#10;AAAlAQAAZHJzL2Uyb0RvYy54bWxQSwUGAAAAAAYABgBZAQAAaQUAAAAA&#10;">
              <v:fill on="f" focussize="0,0"/>
              <v:stroke color="#000000" joinstyle="round"/>
              <v:imagedata o:title=""/>
              <o:lock v:ext="edit" aspectratio="f"/>
            </v:lin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350CF">
    <w:pPr>
      <w:pStyle w:val="15"/>
      <w:rPr>
        <w:rFonts w:hint="eastAsi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60242">
                          <w:pPr>
                            <w:pStyle w:val="15"/>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B460242">
                    <w:pPr>
                      <w:pStyle w:val="15"/>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6D6B1">
    <w:pPr>
      <w:pStyle w:val="15"/>
      <w:framePr w:wrap="around" w:vAnchor="text" w:hAnchor="margin" w:xAlign="right" w:y="1"/>
      <w:rPr>
        <w:rStyle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84097">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223EB">
    <w:pPr>
      <w:pStyle w:val="16"/>
      <w:pBdr>
        <w:bottom w:val="none" w:color="auto" w:sz="0" w:space="1"/>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61531">
    <w:pPr>
      <w:pStyle w:val="15"/>
      <w:framePr w:wrap="around" w:vAnchor="text" w:hAnchor="margin" w:xAlign="right" w:y="1"/>
      <w:rPr>
        <w:rStyle w:val="2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03A83">
    <w:pPr>
      <w:pStyle w:val="16"/>
      <w:pBdr>
        <w:bottom w:val="none" w:color="auto" w:sz="0" w:space="1"/>
      </w:pBd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2FA98">
    <w:pPr>
      <w:pStyle w:val="1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7DCFC">
    <w:pPr>
      <w:pStyle w:val="16"/>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55B23">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8"/>
    <w:multiLevelType w:val="multilevel"/>
    <w:tmpl w:val="00000028"/>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B67709"/>
    <w:multiLevelType w:val="multilevel"/>
    <w:tmpl w:val="59B67709"/>
    <w:lvl w:ilvl="0" w:tentative="0">
      <w:start w:val="1"/>
      <w:numFmt w:val="decimal"/>
      <w:pStyle w:val="51"/>
      <w:lvlText w:val="%1."/>
      <w:lvlJc w:val="left"/>
      <w:pPr>
        <w:ind w:left="425" w:hanging="425"/>
      </w:pPr>
      <w:rPr>
        <w:rFonts w:hint="default"/>
      </w:rPr>
    </w:lvl>
    <w:lvl w:ilvl="1" w:tentative="0">
      <w:start w:val="1"/>
      <w:numFmt w:val="decimal"/>
      <w:pStyle w:val="48"/>
      <w:suff w:val="space"/>
      <w:lvlText w:val="%1.%2."/>
      <w:lvlJc w:val="left"/>
      <w:pPr>
        <w:tabs>
          <w:tab w:val="left" w:pos="0"/>
        </w:tabs>
        <w:ind w:left="0" w:firstLine="0"/>
      </w:pPr>
      <w:rPr>
        <w:rFonts w:hint="default" w:ascii="仿宋_GB2312" w:hAnsi="仿宋_GB2312" w:eastAsia="仿宋_GB2312" w:cs="仿宋_GB2312"/>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59B67ECB"/>
    <w:multiLevelType w:val="singleLevel"/>
    <w:tmpl w:val="59B67ECB"/>
    <w:lvl w:ilvl="0" w:tentative="0">
      <w:start w:val="1"/>
      <w:numFmt w:val="decimal"/>
      <w:pStyle w:val="71"/>
      <w:lvlText w:val="%1."/>
      <w:lvlJc w:val="left"/>
      <w:pPr>
        <w:tabs>
          <w:tab w:val="left" w:pos="0"/>
        </w:tabs>
        <w:ind w:left="0" w:firstLine="0"/>
      </w:pPr>
      <w:rPr>
        <w:rFont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MzllNzZhNDQyNWZiYTIzOWY0YTZjYWJiMGY0NTMifQ=="/>
  </w:docVars>
  <w:rsids>
    <w:rsidRoot w:val="644F60C7"/>
    <w:rsid w:val="00093AE5"/>
    <w:rsid w:val="00185C90"/>
    <w:rsid w:val="00210A3F"/>
    <w:rsid w:val="00273715"/>
    <w:rsid w:val="002E1579"/>
    <w:rsid w:val="0031350C"/>
    <w:rsid w:val="004611C7"/>
    <w:rsid w:val="00466D82"/>
    <w:rsid w:val="005B3DF9"/>
    <w:rsid w:val="00644032"/>
    <w:rsid w:val="006C1F31"/>
    <w:rsid w:val="00755836"/>
    <w:rsid w:val="007910CC"/>
    <w:rsid w:val="007A7CBB"/>
    <w:rsid w:val="007C4E56"/>
    <w:rsid w:val="007F0FE0"/>
    <w:rsid w:val="00813C48"/>
    <w:rsid w:val="00837D38"/>
    <w:rsid w:val="00844A7F"/>
    <w:rsid w:val="0085142B"/>
    <w:rsid w:val="008F7817"/>
    <w:rsid w:val="009838D4"/>
    <w:rsid w:val="009F0839"/>
    <w:rsid w:val="00A53BE7"/>
    <w:rsid w:val="00AD7145"/>
    <w:rsid w:val="00AE62C0"/>
    <w:rsid w:val="00AF30A4"/>
    <w:rsid w:val="00D00085"/>
    <w:rsid w:val="00D2309A"/>
    <w:rsid w:val="00DC7C1D"/>
    <w:rsid w:val="00EC50EF"/>
    <w:rsid w:val="01086C43"/>
    <w:rsid w:val="013E2427"/>
    <w:rsid w:val="013F05DE"/>
    <w:rsid w:val="01437C9C"/>
    <w:rsid w:val="017E3DC4"/>
    <w:rsid w:val="018E6A06"/>
    <w:rsid w:val="01D71B5E"/>
    <w:rsid w:val="02244317"/>
    <w:rsid w:val="0229343E"/>
    <w:rsid w:val="024F22DC"/>
    <w:rsid w:val="0287016E"/>
    <w:rsid w:val="029F196E"/>
    <w:rsid w:val="031F6605"/>
    <w:rsid w:val="03465722"/>
    <w:rsid w:val="034F543E"/>
    <w:rsid w:val="03E323F3"/>
    <w:rsid w:val="040D7D5C"/>
    <w:rsid w:val="041907BF"/>
    <w:rsid w:val="04334681"/>
    <w:rsid w:val="04AC5B0B"/>
    <w:rsid w:val="04EB24EF"/>
    <w:rsid w:val="050224C4"/>
    <w:rsid w:val="051926E0"/>
    <w:rsid w:val="05384DA9"/>
    <w:rsid w:val="05740424"/>
    <w:rsid w:val="0586291D"/>
    <w:rsid w:val="059179E9"/>
    <w:rsid w:val="05B57C30"/>
    <w:rsid w:val="05C47335"/>
    <w:rsid w:val="06935F15"/>
    <w:rsid w:val="06AC1E40"/>
    <w:rsid w:val="06D849E3"/>
    <w:rsid w:val="074D4459"/>
    <w:rsid w:val="07626391"/>
    <w:rsid w:val="07632E46"/>
    <w:rsid w:val="077706A0"/>
    <w:rsid w:val="07777239"/>
    <w:rsid w:val="07935C2F"/>
    <w:rsid w:val="07CB1A68"/>
    <w:rsid w:val="07CC0685"/>
    <w:rsid w:val="07E35E48"/>
    <w:rsid w:val="07F45785"/>
    <w:rsid w:val="083D6487"/>
    <w:rsid w:val="088E7A4F"/>
    <w:rsid w:val="08AB479D"/>
    <w:rsid w:val="08CF5B5B"/>
    <w:rsid w:val="094C0719"/>
    <w:rsid w:val="0969226A"/>
    <w:rsid w:val="09A731E2"/>
    <w:rsid w:val="09F67AC4"/>
    <w:rsid w:val="0A1B5312"/>
    <w:rsid w:val="0A333843"/>
    <w:rsid w:val="0A3A15F5"/>
    <w:rsid w:val="0AAE6769"/>
    <w:rsid w:val="0B294BCD"/>
    <w:rsid w:val="0B426F27"/>
    <w:rsid w:val="0B5A78BD"/>
    <w:rsid w:val="0B882E7B"/>
    <w:rsid w:val="0B9862CE"/>
    <w:rsid w:val="0B9E6145"/>
    <w:rsid w:val="0BE502CE"/>
    <w:rsid w:val="0C0D15D3"/>
    <w:rsid w:val="0C182AAB"/>
    <w:rsid w:val="0C750D9F"/>
    <w:rsid w:val="0CA93229"/>
    <w:rsid w:val="0D133162"/>
    <w:rsid w:val="0D35493D"/>
    <w:rsid w:val="0D411534"/>
    <w:rsid w:val="0D6B67A3"/>
    <w:rsid w:val="0D8713A0"/>
    <w:rsid w:val="0D912A7C"/>
    <w:rsid w:val="0DB00457"/>
    <w:rsid w:val="0DDC54E2"/>
    <w:rsid w:val="0E797A4E"/>
    <w:rsid w:val="0E8012F0"/>
    <w:rsid w:val="0E937732"/>
    <w:rsid w:val="0EA16002"/>
    <w:rsid w:val="0EC00B7E"/>
    <w:rsid w:val="0EE54807"/>
    <w:rsid w:val="0EFA12FE"/>
    <w:rsid w:val="0F182768"/>
    <w:rsid w:val="0F1950E3"/>
    <w:rsid w:val="0F387AF5"/>
    <w:rsid w:val="0F794546"/>
    <w:rsid w:val="0FD061C2"/>
    <w:rsid w:val="101626AA"/>
    <w:rsid w:val="10207B26"/>
    <w:rsid w:val="102F5F40"/>
    <w:rsid w:val="107516D4"/>
    <w:rsid w:val="10A635FC"/>
    <w:rsid w:val="10C11AAE"/>
    <w:rsid w:val="11167C0B"/>
    <w:rsid w:val="11641C95"/>
    <w:rsid w:val="11B71600"/>
    <w:rsid w:val="11E44B84"/>
    <w:rsid w:val="11FC559E"/>
    <w:rsid w:val="12415B32"/>
    <w:rsid w:val="125D38B0"/>
    <w:rsid w:val="12641011"/>
    <w:rsid w:val="12DF1F02"/>
    <w:rsid w:val="12E06B5B"/>
    <w:rsid w:val="12E46C06"/>
    <w:rsid w:val="12E666D9"/>
    <w:rsid w:val="13115D7B"/>
    <w:rsid w:val="13143247"/>
    <w:rsid w:val="132911E1"/>
    <w:rsid w:val="134560DA"/>
    <w:rsid w:val="13623E18"/>
    <w:rsid w:val="13BE0E36"/>
    <w:rsid w:val="140E5EE8"/>
    <w:rsid w:val="141C2522"/>
    <w:rsid w:val="143C0CA7"/>
    <w:rsid w:val="147859D2"/>
    <w:rsid w:val="14D0407E"/>
    <w:rsid w:val="14F71412"/>
    <w:rsid w:val="15437E13"/>
    <w:rsid w:val="1546605E"/>
    <w:rsid w:val="15470119"/>
    <w:rsid w:val="155E4EC3"/>
    <w:rsid w:val="15630CCB"/>
    <w:rsid w:val="15807F6B"/>
    <w:rsid w:val="15CC19A8"/>
    <w:rsid w:val="15EB4987"/>
    <w:rsid w:val="15EE7D7F"/>
    <w:rsid w:val="160E0421"/>
    <w:rsid w:val="1615355E"/>
    <w:rsid w:val="16205EEE"/>
    <w:rsid w:val="168D3A3C"/>
    <w:rsid w:val="16924BAE"/>
    <w:rsid w:val="16BE143E"/>
    <w:rsid w:val="16D9120B"/>
    <w:rsid w:val="16E82DF1"/>
    <w:rsid w:val="17164E31"/>
    <w:rsid w:val="171A320B"/>
    <w:rsid w:val="17517EE6"/>
    <w:rsid w:val="17571954"/>
    <w:rsid w:val="17711313"/>
    <w:rsid w:val="178A1D29"/>
    <w:rsid w:val="178B1EC8"/>
    <w:rsid w:val="17A252C5"/>
    <w:rsid w:val="17A96653"/>
    <w:rsid w:val="17DB07D7"/>
    <w:rsid w:val="17E800CA"/>
    <w:rsid w:val="17FD432E"/>
    <w:rsid w:val="18221F62"/>
    <w:rsid w:val="182F3606"/>
    <w:rsid w:val="18531239"/>
    <w:rsid w:val="18784437"/>
    <w:rsid w:val="18950986"/>
    <w:rsid w:val="18ED2570"/>
    <w:rsid w:val="190309BC"/>
    <w:rsid w:val="195E346D"/>
    <w:rsid w:val="19A32463"/>
    <w:rsid w:val="19F4792E"/>
    <w:rsid w:val="1A112300"/>
    <w:rsid w:val="1A456F10"/>
    <w:rsid w:val="1A852293"/>
    <w:rsid w:val="1AA46F49"/>
    <w:rsid w:val="1ACC4407"/>
    <w:rsid w:val="1AD811BD"/>
    <w:rsid w:val="1AE6371B"/>
    <w:rsid w:val="1B0F151E"/>
    <w:rsid w:val="1B296DC2"/>
    <w:rsid w:val="1B3E70B3"/>
    <w:rsid w:val="1B5F527B"/>
    <w:rsid w:val="1B6069D2"/>
    <w:rsid w:val="1B7725C5"/>
    <w:rsid w:val="1B7900EB"/>
    <w:rsid w:val="1B8768EE"/>
    <w:rsid w:val="1B992145"/>
    <w:rsid w:val="1BAA2364"/>
    <w:rsid w:val="1BD73063"/>
    <w:rsid w:val="1C0A06E2"/>
    <w:rsid w:val="1C4C076D"/>
    <w:rsid w:val="1C605D94"/>
    <w:rsid w:val="1CBD66FD"/>
    <w:rsid w:val="1CE836AA"/>
    <w:rsid w:val="1CFC5477"/>
    <w:rsid w:val="1D342403"/>
    <w:rsid w:val="1D9B4C90"/>
    <w:rsid w:val="1DEA7C3E"/>
    <w:rsid w:val="1E202D0A"/>
    <w:rsid w:val="1E37428D"/>
    <w:rsid w:val="1E4B5D7A"/>
    <w:rsid w:val="1E5622AA"/>
    <w:rsid w:val="1E6334E5"/>
    <w:rsid w:val="1E851C27"/>
    <w:rsid w:val="1EAB66A2"/>
    <w:rsid w:val="1EBE4146"/>
    <w:rsid w:val="1EE2244B"/>
    <w:rsid w:val="1F134CFA"/>
    <w:rsid w:val="1F3258D0"/>
    <w:rsid w:val="1F7B6474"/>
    <w:rsid w:val="1F9C0BDC"/>
    <w:rsid w:val="1FC20797"/>
    <w:rsid w:val="1FF57F5C"/>
    <w:rsid w:val="20235E7F"/>
    <w:rsid w:val="202366A3"/>
    <w:rsid w:val="20582D7A"/>
    <w:rsid w:val="207D29CB"/>
    <w:rsid w:val="20A8480D"/>
    <w:rsid w:val="20BA4440"/>
    <w:rsid w:val="20CC7334"/>
    <w:rsid w:val="210112AE"/>
    <w:rsid w:val="213D1BBA"/>
    <w:rsid w:val="21422F15"/>
    <w:rsid w:val="21C66054"/>
    <w:rsid w:val="21EA1D42"/>
    <w:rsid w:val="22566E1B"/>
    <w:rsid w:val="2260049A"/>
    <w:rsid w:val="23260C43"/>
    <w:rsid w:val="234174BA"/>
    <w:rsid w:val="239857CE"/>
    <w:rsid w:val="23A44173"/>
    <w:rsid w:val="23E55184"/>
    <w:rsid w:val="24066BDB"/>
    <w:rsid w:val="247B4AB8"/>
    <w:rsid w:val="24F51894"/>
    <w:rsid w:val="251D7B82"/>
    <w:rsid w:val="255249D2"/>
    <w:rsid w:val="256E7882"/>
    <w:rsid w:val="257F27A2"/>
    <w:rsid w:val="25B54415"/>
    <w:rsid w:val="25E904C5"/>
    <w:rsid w:val="26077733"/>
    <w:rsid w:val="26301C23"/>
    <w:rsid w:val="263E1640"/>
    <w:rsid w:val="26EE1123"/>
    <w:rsid w:val="26F409E5"/>
    <w:rsid w:val="27007912"/>
    <w:rsid w:val="271E4343"/>
    <w:rsid w:val="276A3C2B"/>
    <w:rsid w:val="278542BB"/>
    <w:rsid w:val="27A16D1D"/>
    <w:rsid w:val="27A80474"/>
    <w:rsid w:val="27B86464"/>
    <w:rsid w:val="27EF5C9E"/>
    <w:rsid w:val="28123DA1"/>
    <w:rsid w:val="28157930"/>
    <w:rsid w:val="282156A5"/>
    <w:rsid w:val="284D54DB"/>
    <w:rsid w:val="289C7B0E"/>
    <w:rsid w:val="28E84B02"/>
    <w:rsid w:val="29101C2F"/>
    <w:rsid w:val="2915680F"/>
    <w:rsid w:val="298459F2"/>
    <w:rsid w:val="2A2646BC"/>
    <w:rsid w:val="2A383867"/>
    <w:rsid w:val="2A6F2A74"/>
    <w:rsid w:val="2A744228"/>
    <w:rsid w:val="2ACD3FAF"/>
    <w:rsid w:val="2AE55ED0"/>
    <w:rsid w:val="2B121646"/>
    <w:rsid w:val="2B3E2ABE"/>
    <w:rsid w:val="2B8B54A1"/>
    <w:rsid w:val="2BA94A1C"/>
    <w:rsid w:val="2BE10FDC"/>
    <w:rsid w:val="2BE5357A"/>
    <w:rsid w:val="2BF05ED4"/>
    <w:rsid w:val="2C004093"/>
    <w:rsid w:val="2C275941"/>
    <w:rsid w:val="2C372028"/>
    <w:rsid w:val="2C424DB2"/>
    <w:rsid w:val="2C716254"/>
    <w:rsid w:val="2C96444C"/>
    <w:rsid w:val="2CB01C1E"/>
    <w:rsid w:val="2CB64ADA"/>
    <w:rsid w:val="2CBA1AC1"/>
    <w:rsid w:val="2D2A393B"/>
    <w:rsid w:val="2D9B65E7"/>
    <w:rsid w:val="2DB53741"/>
    <w:rsid w:val="2DDF4E03"/>
    <w:rsid w:val="2E0F2B31"/>
    <w:rsid w:val="2E207B26"/>
    <w:rsid w:val="2E7F2693"/>
    <w:rsid w:val="2E9F0610"/>
    <w:rsid w:val="2EB15996"/>
    <w:rsid w:val="2F0B08BA"/>
    <w:rsid w:val="2F7633C5"/>
    <w:rsid w:val="2F9A113A"/>
    <w:rsid w:val="2FD724BB"/>
    <w:rsid w:val="2FE37DD1"/>
    <w:rsid w:val="300323B1"/>
    <w:rsid w:val="302F5F1C"/>
    <w:rsid w:val="305355B3"/>
    <w:rsid w:val="307361C9"/>
    <w:rsid w:val="30A430C7"/>
    <w:rsid w:val="30A76A47"/>
    <w:rsid w:val="30CD2F5B"/>
    <w:rsid w:val="30F2620C"/>
    <w:rsid w:val="31336914"/>
    <w:rsid w:val="314334F3"/>
    <w:rsid w:val="315D7907"/>
    <w:rsid w:val="31A84414"/>
    <w:rsid w:val="31E503C2"/>
    <w:rsid w:val="320336CD"/>
    <w:rsid w:val="323F70B6"/>
    <w:rsid w:val="327E2F5B"/>
    <w:rsid w:val="329D3A82"/>
    <w:rsid w:val="329F4483"/>
    <w:rsid w:val="32C6314E"/>
    <w:rsid w:val="33203C5F"/>
    <w:rsid w:val="33620521"/>
    <w:rsid w:val="33941B0E"/>
    <w:rsid w:val="33CB2330"/>
    <w:rsid w:val="33D95E7D"/>
    <w:rsid w:val="33EB04A6"/>
    <w:rsid w:val="33F40AEC"/>
    <w:rsid w:val="34282322"/>
    <w:rsid w:val="343C1698"/>
    <w:rsid w:val="347B2CCE"/>
    <w:rsid w:val="347F041B"/>
    <w:rsid w:val="348970B6"/>
    <w:rsid w:val="35040F15"/>
    <w:rsid w:val="353335A8"/>
    <w:rsid w:val="35D501EE"/>
    <w:rsid w:val="35F7785F"/>
    <w:rsid w:val="36237179"/>
    <w:rsid w:val="364763CC"/>
    <w:rsid w:val="36773D2B"/>
    <w:rsid w:val="36785717"/>
    <w:rsid w:val="36A417FD"/>
    <w:rsid w:val="36B204FD"/>
    <w:rsid w:val="371203EC"/>
    <w:rsid w:val="372043BC"/>
    <w:rsid w:val="373E6F46"/>
    <w:rsid w:val="374A1DCA"/>
    <w:rsid w:val="377129B6"/>
    <w:rsid w:val="380663CB"/>
    <w:rsid w:val="382F4DE6"/>
    <w:rsid w:val="386B1AB4"/>
    <w:rsid w:val="38737095"/>
    <w:rsid w:val="38F35E90"/>
    <w:rsid w:val="391279E8"/>
    <w:rsid w:val="39154E1E"/>
    <w:rsid w:val="39310FA2"/>
    <w:rsid w:val="394A0EC1"/>
    <w:rsid w:val="3962445C"/>
    <w:rsid w:val="3971644D"/>
    <w:rsid w:val="39861EF9"/>
    <w:rsid w:val="3A1F234D"/>
    <w:rsid w:val="3A3E08B6"/>
    <w:rsid w:val="3A7F561F"/>
    <w:rsid w:val="3AFA72C6"/>
    <w:rsid w:val="3B084B8F"/>
    <w:rsid w:val="3B0D21A6"/>
    <w:rsid w:val="3B416AAE"/>
    <w:rsid w:val="3B4F136D"/>
    <w:rsid w:val="3B8A37F6"/>
    <w:rsid w:val="3B9823B7"/>
    <w:rsid w:val="3B9B5A04"/>
    <w:rsid w:val="3BA96FBB"/>
    <w:rsid w:val="3BC94845"/>
    <w:rsid w:val="3BE70C49"/>
    <w:rsid w:val="3C067321"/>
    <w:rsid w:val="3C1C58E7"/>
    <w:rsid w:val="3CA16E39"/>
    <w:rsid w:val="3CA31014"/>
    <w:rsid w:val="3CA408E8"/>
    <w:rsid w:val="3CD613E9"/>
    <w:rsid w:val="3D0A7A32"/>
    <w:rsid w:val="3D430101"/>
    <w:rsid w:val="3D4A5E08"/>
    <w:rsid w:val="3D9E4528"/>
    <w:rsid w:val="3DD027A0"/>
    <w:rsid w:val="3DE506AB"/>
    <w:rsid w:val="3DFD5F84"/>
    <w:rsid w:val="3E253C14"/>
    <w:rsid w:val="3E4B51E4"/>
    <w:rsid w:val="3E5F0F6A"/>
    <w:rsid w:val="3E6C6EAB"/>
    <w:rsid w:val="3E9B657A"/>
    <w:rsid w:val="3EA11583"/>
    <w:rsid w:val="3EF47BE2"/>
    <w:rsid w:val="3EF56CE1"/>
    <w:rsid w:val="3F221388"/>
    <w:rsid w:val="3F290356"/>
    <w:rsid w:val="3F423AB2"/>
    <w:rsid w:val="3F75047E"/>
    <w:rsid w:val="3FF66307"/>
    <w:rsid w:val="4012604E"/>
    <w:rsid w:val="401E76EE"/>
    <w:rsid w:val="40381A73"/>
    <w:rsid w:val="40901A06"/>
    <w:rsid w:val="40B8205E"/>
    <w:rsid w:val="418C651A"/>
    <w:rsid w:val="41984EBF"/>
    <w:rsid w:val="423009B4"/>
    <w:rsid w:val="423A49EA"/>
    <w:rsid w:val="4268449D"/>
    <w:rsid w:val="426F39D2"/>
    <w:rsid w:val="427F149A"/>
    <w:rsid w:val="429C7054"/>
    <w:rsid w:val="42D77C69"/>
    <w:rsid w:val="42E84865"/>
    <w:rsid w:val="431A1904"/>
    <w:rsid w:val="433429C6"/>
    <w:rsid w:val="43775DEF"/>
    <w:rsid w:val="43947908"/>
    <w:rsid w:val="439873F8"/>
    <w:rsid w:val="43BF3FB9"/>
    <w:rsid w:val="43C17F8F"/>
    <w:rsid w:val="441D49D5"/>
    <w:rsid w:val="444D35EF"/>
    <w:rsid w:val="44A36F5A"/>
    <w:rsid w:val="44A57BFD"/>
    <w:rsid w:val="44AC3BD6"/>
    <w:rsid w:val="44D3518B"/>
    <w:rsid w:val="44E01750"/>
    <w:rsid w:val="44EE2CAA"/>
    <w:rsid w:val="45007F3B"/>
    <w:rsid w:val="45264EDC"/>
    <w:rsid w:val="45400DB0"/>
    <w:rsid w:val="454B2248"/>
    <w:rsid w:val="4577128F"/>
    <w:rsid w:val="45DB5D0E"/>
    <w:rsid w:val="462A6302"/>
    <w:rsid w:val="466C0A3E"/>
    <w:rsid w:val="467C32EB"/>
    <w:rsid w:val="46BE6485"/>
    <w:rsid w:val="47B92B39"/>
    <w:rsid w:val="482C67F4"/>
    <w:rsid w:val="48AD2FDF"/>
    <w:rsid w:val="48C61712"/>
    <w:rsid w:val="48F53C8B"/>
    <w:rsid w:val="49066F1A"/>
    <w:rsid w:val="49607F28"/>
    <w:rsid w:val="4961028C"/>
    <w:rsid w:val="49970EBB"/>
    <w:rsid w:val="49BB32D1"/>
    <w:rsid w:val="4A1F4C27"/>
    <w:rsid w:val="4A2C1887"/>
    <w:rsid w:val="4A361719"/>
    <w:rsid w:val="4A396B13"/>
    <w:rsid w:val="4A676CA7"/>
    <w:rsid w:val="4AA24BE9"/>
    <w:rsid w:val="4AC72922"/>
    <w:rsid w:val="4ACE658B"/>
    <w:rsid w:val="4AEC3AB2"/>
    <w:rsid w:val="4B216B26"/>
    <w:rsid w:val="4B29792C"/>
    <w:rsid w:val="4B5E0F27"/>
    <w:rsid w:val="4B7B02C7"/>
    <w:rsid w:val="4B814C16"/>
    <w:rsid w:val="4B9E65BA"/>
    <w:rsid w:val="4BEB02E1"/>
    <w:rsid w:val="4C0554CB"/>
    <w:rsid w:val="4C235CCD"/>
    <w:rsid w:val="4C32043C"/>
    <w:rsid w:val="4C3A0577"/>
    <w:rsid w:val="4C5C29D9"/>
    <w:rsid w:val="4CC37CD5"/>
    <w:rsid w:val="4CF5579E"/>
    <w:rsid w:val="4D2B4E39"/>
    <w:rsid w:val="4D3E3F4B"/>
    <w:rsid w:val="4DB90C1E"/>
    <w:rsid w:val="4E6644F1"/>
    <w:rsid w:val="4E7D7917"/>
    <w:rsid w:val="4F204746"/>
    <w:rsid w:val="4F296C2A"/>
    <w:rsid w:val="4F764366"/>
    <w:rsid w:val="4F836083"/>
    <w:rsid w:val="4FAE5E55"/>
    <w:rsid w:val="4FBD49D5"/>
    <w:rsid w:val="50157DD4"/>
    <w:rsid w:val="50E05F3B"/>
    <w:rsid w:val="50EA0B67"/>
    <w:rsid w:val="50EE299B"/>
    <w:rsid w:val="511A58F1"/>
    <w:rsid w:val="511A6ED6"/>
    <w:rsid w:val="515661FD"/>
    <w:rsid w:val="515E702F"/>
    <w:rsid w:val="51654692"/>
    <w:rsid w:val="518719C9"/>
    <w:rsid w:val="51876AE7"/>
    <w:rsid w:val="51D02358"/>
    <w:rsid w:val="51E80D70"/>
    <w:rsid w:val="51F7178E"/>
    <w:rsid w:val="52292E9B"/>
    <w:rsid w:val="525B09E7"/>
    <w:rsid w:val="52611D15"/>
    <w:rsid w:val="526A14D6"/>
    <w:rsid w:val="52943481"/>
    <w:rsid w:val="52AD4F6C"/>
    <w:rsid w:val="52BE7ACF"/>
    <w:rsid w:val="52EB3A67"/>
    <w:rsid w:val="531F684F"/>
    <w:rsid w:val="537F629B"/>
    <w:rsid w:val="5382152B"/>
    <w:rsid w:val="54261D71"/>
    <w:rsid w:val="544D5008"/>
    <w:rsid w:val="54E63D3C"/>
    <w:rsid w:val="551847CA"/>
    <w:rsid w:val="553B1FAA"/>
    <w:rsid w:val="559908AE"/>
    <w:rsid w:val="55E4027B"/>
    <w:rsid w:val="55F529F7"/>
    <w:rsid w:val="56186B83"/>
    <w:rsid w:val="56717635"/>
    <w:rsid w:val="56811F6E"/>
    <w:rsid w:val="57015238"/>
    <w:rsid w:val="57075C8F"/>
    <w:rsid w:val="571C6413"/>
    <w:rsid w:val="572B4236"/>
    <w:rsid w:val="574D46FB"/>
    <w:rsid w:val="57E75E01"/>
    <w:rsid w:val="57F347A6"/>
    <w:rsid w:val="581B1E70"/>
    <w:rsid w:val="583E7D8D"/>
    <w:rsid w:val="58627B7D"/>
    <w:rsid w:val="58A65CBC"/>
    <w:rsid w:val="58BA5315"/>
    <w:rsid w:val="58ED30B4"/>
    <w:rsid w:val="58F92FAA"/>
    <w:rsid w:val="59134C30"/>
    <w:rsid w:val="59284923"/>
    <w:rsid w:val="593D2DEA"/>
    <w:rsid w:val="59421805"/>
    <w:rsid w:val="59C2296F"/>
    <w:rsid w:val="59EA3804"/>
    <w:rsid w:val="59FB5B93"/>
    <w:rsid w:val="5A191781"/>
    <w:rsid w:val="5A195899"/>
    <w:rsid w:val="5A1D6F7A"/>
    <w:rsid w:val="5A403892"/>
    <w:rsid w:val="5ABA06B3"/>
    <w:rsid w:val="5B372BFB"/>
    <w:rsid w:val="5B487FED"/>
    <w:rsid w:val="5B4D7DED"/>
    <w:rsid w:val="5B6C7881"/>
    <w:rsid w:val="5B85209D"/>
    <w:rsid w:val="5BA74890"/>
    <w:rsid w:val="5BAF34EA"/>
    <w:rsid w:val="5BDC4CB6"/>
    <w:rsid w:val="5C295FAD"/>
    <w:rsid w:val="5C741C2D"/>
    <w:rsid w:val="5C787E68"/>
    <w:rsid w:val="5C9E3B0B"/>
    <w:rsid w:val="5CA95708"/>
    <w:rsid w:val="5CE94575"/>
    <w:rsid w:val="5CFA4828"/>
    <w:rsid w:val="5D1C479E"/>
    <w:rsid w:val="5D2B7B2D"/>
    <w:rsid w:val="5D443618"/>
    <w:rsid w:val="5DB12B75"/>
    <w:rsid w:val="5DBC3340"/>
    <w:rsid w:val="5DCA41FA"/>
    <w:rsid w:val="5DEF0382"/>
    <w:rsid w:val="5E196F30"/>
    <w:rsid w:val="5E224037"/>
    <w:rsid w:val="5E413E7E"/>
    <w:rsid w:val="5E4A106B"/>
    <w:rsid w:val="5E6C41D8"/>
    <w:rsid w:val="5E723618"/>
    <w:rsid w:val="5EBA309B"/>
    <w:rsid w:val="5EF53A2D"/>
    <w:rsid w:val="5EFC3DEB"/>
    <w:rsid w:val="5F812FDF"/>
    <w:rsid w:val="5F8E17D1"/>
    <w:rsid w:val="5FAB028F"/>
    <w:rsid w:val="5FB32A6C"/>
    <w:rsid w:val="5FD6714D"/>
    <w:rsid w:val="603F737D"/>
    <w:rsid w:val="6040471B"/>
    <w:rsid w:val="60720F30"/>
    <w:rsid w:val="61141325"/>
    <w:rsid w:val="611966EA"/>
    <w:rsid w:val="6149075A"/>
    <w:rsid w:val="615A5AF0"/>
    <w:rsid w:val="616226D3"/>
    <w:rsid w:val="6170330B"/>
    <w:rsid w:val="62454C11"/>
    <w:rsid w:val="62461BC4"/>
    <w:rsid w:val="62692BA6"/>
    <w:rsid w:val="630E0955"/>
    <w:rsid w:val="6324335B"/>
    <w:rsid w:val="632927BC"/>
    <w:rsid w:val="636218DD"/>
    <w:rsid w:val="63D85C39"/>
    <w:rsid w:val="63E44B2A"/>
    <w:rsid w:val="63F91396"/>
    <w:rsid w:val="644F60C7"/>
    <w:rsid w:val="64DA4AF9"/>
    <w:rsid w:val="64DF42B8"/>
    <w:rsid w:val="655D5954"/>
    <w:rsid w:val="656F4263"/>
    <w:rsid w:val="6578453C"/>
    <w:rsid w:val="65A55648"/>
    <w:rsid w:val="66195298"/>
    <w:rsid w:val="6671639B"/>
    <w:rsid w:val="6692787F"/>
    <w:rsid w:val="66F8637B"/>
    <w:rsid w:val="672D1356"/>
    <w:rsid w:val="6731315F"/>
    <w:rsid w:val="677F7E04"/>
    <w:rsid w:val="67B407AE"/>
    <w:rsid w:val="67CF7833"/>
    <w:rsid w:val="68103223"/>
    <w:rsid w:val="68872F66"/>
    <w:rsid w:val="68D655CD"/>
    <w:rsid w:val="68DC0CE7"/>
    <w:rsid w:val="69852275"/>
    <w:rsid w:val="69894F6A"/>
    <w:rsid w:val="698C3D32"/>
    <w:rsid w:val="69B16A3E"/>
    <w:rsid w:val="69BC3B2A"/>
    <w:rsid w:val="69E968AD"/>
    <w:rsid w:val="6A1219AC"/>
    <w:rsid w:val="6A5C267E"/>
    <w:rsid w:val="6A95793E"/>
    <w:rsid w:val="6A9811DC"/>
    <w:rsid w:val="6A9C2A7B"/>
    <w:rsid w:val="6B00125C"/>
    <w:rsid w:val="6B814A32"/>
    <w:rsid w:val="6BB362CE"/>
    <w:rsid w:val="6BBE55FB"/>
    <w:rsid w:val="6BCD0AFC"/>
    <w:rsid w:val="6BF3491C"/>
    <w:rsid w:val="6C6945BA"/>
    <w:rsid w:val="6C711CE5"/>
    <w:rsid w:val="6CC10EBE"/>
    <w:rsid w:val="6CCD7863"/>
    <w:rsid w:val="6CCF1AF5"/>
    <w:rsid w:val="6D254FA9"/>
    <w:rsid w:val="6D377177"/>
    <w:rsid w:val="6D6F4477"/>
    <w:rsid w:val="6D9263B7"/>
    <w:rsid w:val="6DD95D94"/>
    <w:rsid w:val="6E1F7C4B"/>
    <w:rsid w:val="6E681544"/>
    <w:rsid w:val="6E6B0183"/>
    <w:rsid w:val="6E761EC2"/>
    <w:rsid w:val="6E906D35"/>
    <w:rsid w:val="6ECB733F"/>
    <w:rsid w:val="6F167C3D"/>
    <w:rsid w:val="6F432BB0"/>
    <w:rsid w:val="6F562D96"/>
    <w:rsid w:val="6FAB7ACB"/>
    <w:rsid w:val="6FCB436A"/>
    <w:rsid w:val="70496DCA"/>
    <w:rsid w:val="707A4B23"/>
    <w:rsid w:val="707E2845"/>
    <w:rsid w:val="707F344A"/>
    <w:rsid w:val="70833089"/>
    <w:rsid w:val="70BC134B"/>
    <w:rsid w:val="711268B0"/>
    <w:rsid w:val="711D41EA"/>
    <w:rsid w:val="71980E37"/>
    <w:rsid w:val="71E1414A"/>
    <w:rsid w:val="72077373"/>
    <w:rsid w:val="72264AD5"/>
    <w:rsid w:val="72493C43"/>
    <w:rsid w:val="72BF55EE"/>
    <w:rsid w:val="72E415CF"/>
    <w:rsid w:val="7320141F"/>
    <w:rsid w:val="732D4BB8"/>
    <w:rsid w:val="73542182"/>
    <w:rsid w:val="73A8332B"/>
    <w:rsid w:val="73DF11F6"/>
    <w:rsid w:val="73E16683"/>
    <w:rsid w:val="73E63705"/>
    <w:rsid w:val="744F60BB"/>
    <w:rsid w:val="745E5245"/>
    <w:rsid w:val="74620891"/>
    <w:rsid w:val="746F2FAE"/>
    <w:rsid w:val="74856DE1"/>
    <w:rsid w:val="749A44CF"/>
    <w:rsid w:val="74C41AE6"/>
    <w:rsid w:val="74E87617"/>
    <w:rsid w:val="74FC528B"/>
    <w:rsid w:val="74FD05BA"/>
    <w:rsid w:val="75063912"/>
    <w:rsid w:val="75427C74"/>
    <w:rsid w:val="756B15C2"/>
    <w:rsid w:val="75B867C6"/>
    <w:rsid w:val="75D63689"/>
    <w:rsid w:val="75E672A0"/>
    <w:rsid w:val="769A6A08"/>
    <w:rsid w:val="76B85703"/>
    <w:rsid w:val="76CF7A14"/>
    <w:rsid w:val="774058C7"/>
    <w:rsid w:val="77A068FA"/>
    <w:rsid w:val="77A94A29"/>
    <w:rsid w:val="77BC29AE"/>
    <w:rsid w:val="77DF1BA9"/>
    <w:rsid w:val="78172BED"/>
    <w:rsid w:val="7879264D"/>
    <w:rsid w:val="7899684C"/>
    <w:rsid w:val="78CB03F3"/>
    <w:rsid w:val="78EF0B61"/>
    <w:rsid w:val="79183C14"/>
    <w:rsid w:val="795124C5"/>
    <w:rsid w:val="79A1737E"/>
    <w:rsid w:val="79C33B54"/>
    <w:rsid w:val="79CE6985"/>
    <w:rsid w:val="79E5228B"/>
    <w:rsid w:val="79EE7E0D"/>
    <w:rsid w:val="7A911ED0"/>
    <w:rsid w:val="7AE95E1F"/>
    <w:rsid w:val="7AFC584B"/>
    <w:rsid w:val="7B0A1C83"/>
    <w:rsid w:val="7B3F7B7E"/>
    <w:rsid w:val="7B4927AB"/>
    <w:rsid w:val="7B567622"/>
    <w:rsid w:val="7B5B7EBC"/>
    <w:rsid w:val="7B6B2E57"/>
    <w:rsid w:val="7BD91854"/>
    <w:rsid w:val="7BDE7ED4"/>
    <w:rsid w:val="7BFE75C6"/>
    <w:rsid w:val="7C5834BE"/>
    <w:rsid w:val="7C5D0340"/>
    <w:rsid w:val="7C7211A2"/>
    <w:rsid w:val="7C887303"/>
    <w:rsid w:val="7CC278F8"/>
    <w:rsid w:val="7D02665D"/>
    <w:rsid w:val="7D0F16C6"/>
    <w:rsid w:val="7D37167D"/>
    <w:rsid w:val="7D3804BC"/>
    <w:rsid w:val="7D8E5B3D"/>
    <w:rsid w:val="7DB351C0"/>
    <w:rsid w:val="7E370825"/>
    <w:rsid w:val="7EAF0B77"/>
    <w:rsid w:val="7EEC7DB8"/>
    <w:rsid w:val="7F066102"/>
    <w:rsid w:val="7F160BF6"/>
    <w:rsid w:val="7F1E3F4E"/>
    <w:rsid w:val="7FA44BBB"/>
    <w:rsid w:val="7FBB17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40" w:beforeLines="0" w:after="40" w:afterLines="0"/>
      <w:jc w:val="center"/>
      <w:outlineLvl w:val="0"/>
    </w:pPr>
    <w:rPr>
      <w:b/>
      <w:bCs/>
      <w:kern w:val="44"/>
      <w:sz w:val="36"/>
      <w:szCs w:val="44"/>
    </w:rPr>
  </w:style>
  <w:style w:type="paragraph" w:styleId="3">
    <w:name w:val="heading 2"/>
    <w:basedOn w:val="1"/>
    <w:next w:val="1"/>
    <w:qFormat/>
    <w:uiPriority w:val="99"/>
    <w:pPr>
      <w:autoSpaceDE w:val="0"/>
      <w:autoSpaceDN w:val="0"/>
      <w:adjustRightInd w:val="0"/>
      <w:spacing w:line="360" w:lineRule="auto"/>
      <w:jc w:val="center"/>
      <w:outlineLvl w:val="1"/>
    </w:pPr>
    <w:rPr>
      <w:rFonts w:ascii="宋体" w:hAnsi="宋体"/>
      <w:b/>
      <w:bCs/>
      <w:color w:val="000000"/>
      <w:kern w:val="0"/>
      <w:sz w:val="20"/>
      <w:szCs w:val="20"/>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5">
    <w:name w:val="heading 4"/>
    <w:basedOn w:val="6"/>
    <w:next w:val="6"/>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25">
    <w:name w:val="Default Paragraph Font"/>
    <w:semiHidden/>
    <w:qFormat/>
    <w:uiPriority w:val="0"/>
  </w:style>
  <w:style w:type="table" w:default="1" w:styleId="2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6">
    <w:name w:val="正文_1"/>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7">
    <w:name w:val="Normal Indent"/>
    <w:basedOn w:val="1"/>
    <w:qFormat/>
    <w:uiPriority w:val="0"/>
    <w:pPr>
      <w:ind w:firstLine="420"/>
    </w:pPr>
    <w:rPr>
      <w:szCs w:val="20"/>
    </w:rPr>
  </w:style>
  <w:style w:type="paragraph" w:styleId="8">
    <w:name w:val="annotation text"/>
    <w:basedOn w:val="1"/>
    <w:link w:val="30"/>
    <w:qFormat/>
    <w:uiPriority w:val="0"/>
    <w:pPr>
      <w:jc w:val="left"/>
    </w:pPr>
  </w:style>
  <w:style w:type="paragraph" w:styleId="9">
    <w:name w:val="Body Text"/>
    <w:basedOn w:val="1"/>
    <w:next w:val="10"/>
    <w:qFormat/>
    <w:uiPriority w:val="0"/>
    <w:pPr>
      <w:spacing w:after="120" w:afterLines="0"/>
    </w:pPr>
  </w:style>
  <w:style w:type="paragraph" w:styleId="10">
    <w:name w:val="Body Text 2"/>
    <w:basedOn w:val="1"/>
    <w:qFormat/>
    <w:uiPriority w:val="0"/>
  </w:style>
  <w:style w:type="paragraph" w:styleId="11">
    <w:name w:val="Body Text Indent"/>
    <w:basedOn w:val="1"/>
    <w:qFormat/>
    <w:uiPriority w:val="0"/>
    <w:pPr>
      <w:spacing w:after="120" w:afterLines="0"/>
      <w:ind w:left="420" w:leftChars="200"/>
    </w:pPr>
  </w:style>
  <w:style w:type="paragraph" w:styleId="12">
    <w:name w:val="Plain Text"/>
    <w:basedOn w:val="1"/>
    <w:next w:val="1"/>
    <w:qFormat/>
    <w:uiPriority w:val="0"/>
    <w:rPr>
      <w:rFonts w:ascii="宋体" w:hAnsi="Courier New" w:cs="Courier New"/>
      <w:szCs w:val="21"/>
    </w:rPr>
  </w:style>
  <w:style w:type="paragraph" w:styleId="13">
    <w:name w:val="endnote text"/>
    <w:basedOn w:val="1"/>
    <w:qFormat/>
    <w:uiPriority w:val="0"/>
    <w:pPr>
      <w:snapToGrid w:val="0"/>
      <w:jc w:val="left"/>
    </w:pPr>
    <w:rPr>
      <w:rFonts w:ascii="宋体" w:hAnsi="宋体"/>
      <w:kern w:val="0"/>
      <w:sz w:val="28"/>
    </w:rPr>
  </w:style>
  <w:style w:type="paragraph" w:styleId="14">
    <w:name w:val="Balloon Text"/>
    <w:basedOn w:val="1"/>
    <w:link w:val="3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spacing w:before="120" w:beforeLines="0" w:after="120" w:afterLines="0" w:line="240" w:lineRule="auto"/>
      <w:jc w:val="left"/>
    </w:pPr>
    <w:rPr>
      <w:rFonts w:eastAsia="宋体"/>
      <w:caps/>
      <w:sz w:val="20"/>
      <w:szCs w:val="20"/>
    </w:rPr>
  </w:style>
  <w:style w:type="paragraph" w:styleId="18">
    <w:name w:val="Body Text Indent 3"/>
    <w:basedOn w:val="1"/>
    <w:qFormat/>
    <w:uiPriority w:val="0"/>
    <w:pPr>
      <w:snapToGrid w:val="0"/>
      <w:spacing w:afterLines="50" w:line="360" w:lineRule="auto"/>
      <w:ind w:firstLine="480" w:firstLineChars="200"/>
      <w:jc w:val="left"/>
    </w:pPr>
    <w:rPr>
      <w:rFonts w:ascii="宋体" w:hAnsi="宋体" w:eastAsia="宋体" w:cs="Times New Roman"/>
      <w:sz w:val="24"/>
      <w:szCs w:val="24"/>
    </w:rPr>
  </w:style>
  <w:style w:type="paragraph" w:styleId="1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0">
    <w:name w:val="Title"/>
    <w:basedOn w:val="1"/>
    <w:next w:val="1"/>
    <w:qFormat/>
    <w:uiPriority w:val="0"/>
    <w:pPr>
      <w:spacing w:before="240" w:after="60"/>
      <w:jc w:val="center"/>
      <w:outlineLvl w:val="0"/>
    </w:pPr>
    <w:rPr>
      <w:rFonts w:ascii="等线 Light" w:hAnsi="等线 Light" w:eastAsia="等线 Light" w:cs="Times New Roman"/>
      <w:b/>
      <w:bCs/>
      <w:kern w:val="0"/>
      <w:sz w:val="32"/>
      <w:szCs w:val="32"/>
    </w:rPr>
  </w:style>
  <w:style w:type="paragraph" w:styleId="21">
    <w:name w:val="annotation subject"/>
    <w:basedOn w:val="8"/>
    <w:next w:val="8"/>
    <w:link w:val="32"/>
    <w:qFormat/>
    <w:uiPriority w:val="0"/>
    <w:rPr>
      <w:b/>
      <w:bCs/>
    </w:rPr>
  </w:style>
  <w:style w:type="paragraph" w:styleId="22">
    <w:name w:val="Body Text First Indent"/>
    <w:basedOn w:val="9"/>
    <w:qFormat/>
    <w:uiPriority w:val="0"/>
    <w:pPr>
      <w:ind w:firstLine="420" w:firstLineChars="1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qFormat/>
    <w:uiPriority w:val="0"/>
  </w:style>
  <w:style w:type="character" w:styleId="27">
    <w:name w:val="FollowedHyperlink"/>
    <w:qFormat/>
    <w:uiPriority w:val="0"/>
    <w:rPr>
      <w:color w:val="333333"/>
      <w:u w:val="none"/>
    </w:rPr>
  </w:style>
  <w:style w:type="character" w:styleId="28">
    <w:name w:val="Hyperlink"/>
    <w:qFormat/>
    <w:uiPriority w:val="0"/>
    <w:rPr>
      <w:color w:val="333333"/>
      <w:u w:val="none"/>
    </w:rPr>
  </w:style>
  <w:style w:type="character" w:styleId="29">
    <w:name w:val="annotation reference"/>
    <w:qFormat/>
    <w:uiPriority w:val="0"/>
    <w:rPr>
      <w:sz w:val="21"/>
      <w:szCs w:val="21"/>
    </w:rPr>
  </w:style>
  <w:style w:type="character" w:customStyle="1" w:styleId="30">
    <w:name w:val="批注文字 字符"/>
    <w:link w:val="8"/>
    <w:qFormat/>
    <w:uiPriority w:val="0"/>
    <w:rPr>
      <w:rFonts w:ascii="Calibri" w:hAnsi="Calibri"/>
      <w:kern w:val="2"/>
      <w:sz w:val="21"/>
      <w:szCs w:val="24"/>
    </w:rPr>
  </w:style>
  <w:style w:type="character" w:customStyle="1" w:styleId="31">
    <w:name w:val="批注框文本 字符"/>
    <w:link w:val="14"/>
    <w:qFormat/>
    <w:uiPriority w:val="0"/>
    <w:rPr>
      <w:rFonts w:ascii="Calibri" w:hAnsi="Calibri"/>
      <w:kern w:val="2"/>
      <w:sz w:val="18"/>
      <w:szCs w:val="18"/>
    </w:rPr>
  </w:style>
  <w:style w:type="character" w:customStyle="1" w:styleId="32">
    <w:name w:val="批注主题 字符"/>
    <w:link w:val="21"/>
    <w:qFormat/>
    <w:uiPriority w:val="0"/>
  </w:style>
  <w:style w:type="paragraph" w:customStyle="1" w:styleId="33">
    <w:name w:val="目录 31"/>
    <w:basedOn w:val="1"/>
    <w:next w:val="1"/>
    <w:qFormat/>
    <w:uiPriority w:val="0"/>
    <w:pPr>
      <w:ind w:left="420"/>
      <w:jc w:val="left"/>
    </w:pPr>
    <w:rPr>
      <w:i/>
      <w:iCs/>
      <w:sz w:val="20"/>
      <w:szCs w:val="20"/>
    </w:rPr>
  </w:style>
  <w:style w:type="character" w:customStyle="1" w:styleId="34">
    <w:name w:val="font81"/>
    <w:qFormat/>
    <w:uiPriority w:val="0"/>
    <w:rPr>
      <w:rFonts w:hint="default" w:ascii="Times New Roman" w:hAnsi="Times New Roman" w:cs="Times New Roman"/>
      <w:color w:val="000000"/>
      <w:sz w:val="18"/>
      <w:szCs w:val="18"/>
      <w:u w:val="none"/>
    </w:rPr>
  </w:style>
  <w:style w:type="character" w:customStyle="1" w:styleId="35">
    <w:name w:val="font21"/>
    <w:qFormat/>
    <w:uiPriority w:val="0"/>
    <w:rPr>
      <w:rFonts w:hint="default" w:ascii="Times New Roman" w:hAnsi="Times New Roman" w:cs="Times New Roman"/>
      <w:b/>
      <w:bCs/>
      <w:color w:val="000000"/>
      <w:sz w:val="24"/>
      <w:szCs w:val="24"/>
      <w:u w:val="none"/>
    </w:rPr>
  </w:style>
  <w:style w:type="character" w:customStyle="1" w:styleId="36">
    <w:name w:val="font101"/>
    <w:qFormat/>
    <w:uiPriority w:val="0"/>
    <w:rPr>
      <w:rFonts w:hint="eastAsia" w:ascii="宋体" w:hAnsi="宋体" w:eastAsia="宋体" w:cs="宋体"/>
      <w:color w:val="FF0000"/>
      <w:sz w:val="20"/>
      <w:szCs w:val="20"/>
      <w:u w:val="none"/>
    </w:rPr>
  </w:style>
  <w:style w:type="character" w:customStyle="1" w:styleId="37">
    <w:name w:val="style1"/>
    <w:qFormat/>
    <w:uiPriority w:val="0"/>
  </w:style>
  <w:style w:type="character" w:customStyle="1" w:styleId="38">
    <w:name w:val="font01"/>
    <w:qFormat/>
    <w:uiPriority w:val="0"/>
    <w:rPr>
      <w:rFonts w:hint="eastAsia" w:ascii="宋体" w:hAnsi="宋体" w:eastAsia="宋体" w:cs="宋体"/>
      <w:color w:val="000000"/>
      <w:sz w:val="20"/>
      <w:szCs w:val="20"/>
      <w:u w:val="none"/>
    </w:rPr>
  </w:style>
  <w:style w:type="character" w:customStyle="1" w:styleId="39">
    <w:name w:val="font31"/>
    <w:qFormat/>
    <w:uiPriority w:val="0"/>
    <w:rPr>
      <w:rFonts w:hint="default" w:ascii="Times New Roman" w:hAnsi="Times New Roman" w:cs="Times New Roman"/>
      <w:b/>
      <w:bCs/>
      <w:color w:val="000000"/>
      <w:sz w:val="24"/>
      <w:szCs w:val="24"/>
      <w:u w:val="none"/>
    </w:rPr>
  </w:style>
  <w:style w:type="character" w:customStyle="1" w:styleId="40">
    <w:name w:val="font41"/>
    <w:qFormat/>
    <w:uiPriority w:val="0"/>
    <w:rPr>
      <w:rFonts w:hint="eastAsia" w:ascii="宋体" w:hAnsi="宋体" w:eastAsia="宋体" w:cs="宋体"/>
      <w:color w:val="000000"/>
      <w:sz w:val="20"/>
      <w:szCs w:val="20"/>
      <w:u w:val="none"/>
    </w:rPr>
  </w:style>
  <w:style w:type="character" w:customStyle="1" w:styleId="41">
    <w:name w:val="font11"/>
    <w:qFormat/>
    <w:uiPriority w:val="0"/>
    <w:rPr>
      <w:rFonts w:hint="eastAsia" w:ascii="宋体" w:hAnsi="宋体" w:eastAsia="宋体" w:cs="宋体"/>
      <w:b/>
      <w:bCs/>
      <w:color w:val="000000"/>
      <w:sz w:val="24"/>
      <w:szCs w:val="24"/>
      <w:u w:val="none"/>
    </w:rPr>
  </w:style>
  <w:style w:type="character" w:customStyle="1" w:styleId="42">
    <w:name w:val="font61"/>
    <w:qFormat/>
    <w:uiPriority w:val="0"/>
    <w:rPr>
      <w:rFonts w:hint="eastAsia" w:ascii="宋体" w:hAnsi="宋体" w:eastAsia="宋体" w:cs="宋体"/>
      <w:color w:val="000000"/>
      <w:sz w:val="18"/>
      <w:szCs w:val="18"/>
      <w:u w:val="none"/>
    </w:rPr>
  </w:style>
  <w:style w:type="character" w:customStyle="1" w:styleId="43">
    <w:name w:val="采购文件一、 Char"/>
    <w:link w:val="44"/>
    <w:qFormat/>
    <w:uiPriority w:val="0"/>
    <w:rPr>
      <w:rFonts w:ascii="Times New Roman" w:hAnsi="宋体" w:eastAsia="仿宋_GB2312" w:cs="Times New Roman"/>
      <w:b/>
      <w:kern w:val="0"/>
      <w:sz w:val="24"/>
      <w:szCs w:val="20"/>
    </w:rPr>
  </w:style>
  <w:style w:type="paragraph" w:customStyle="1" w:styleId="44">
    <w:name w:val="采购文件一、"/>
    <w:basedOn w:val="12"/>
    <w:link w:val="43"/>
    <w:qFormat/>
    <w:uiPriority w:val="0"/>
    <w:pPr>
      <w:spacing w:before="120" w:after="120" w:line="400" w:lineRule="atLeast"/>
      <w:jc w:val="left"/>
    </w:pPr>
    <w:rPr>
      <w:rFonts w:ascii="Times New Roman" w:hAnsi="宋体" w:eastAsia="仿宋_GB2312" w:cs="Times New Roman"/>
      <w:b/>
      <w:kern w:val="0"/>
      <w:sz w:val="24"/>
      <w:szCs w:val="20"/>
    </w:rPr>
  </w:style>
  <w:style w:type="character" w:customStyle="1" w:styleId="45">
    <w:name w:val="font71"/>
    <w:qFormat/>
    <w:uiPriority w:val="0"/>
    <w:rPr>
      <w:rFonts w:ascii="Calibri" w:hAnsi="Calibri" w:cs="Calibri"/>
      <w:color w:val="000000"/>
      <w:sz w:val="24"/>
      <w:szCs w:val="24"/>
      <w:u w:val="none"/>
    </w:rPr>
  </w:style>
  <w:style w:type="paragraph" w:customStyle="1" w:styleId="46">
    <w:name w:val="正文_4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List Paragraph"/>
    <w:basedOn w:val="1"/>
    <w:qFormat/>
    <w:uiPriority w:val="99"/>
    <w:pPr>
      <w:ind w:firstLine="420" w:firstLineChars="200"/>
    </w:pPr>
    <w:rPr>
      <w:rFonts w:ascii="等线" w:hAnsi="等线" w:eastAsia="等线" w:cs="Times New Roman"/>
      <w:kern w:val="0"/>
      <w:szCs w:val="22"/>
    </w:rPr>
  </w:style>
  <w:style w:type="paragraph" w:customStyle="1" w:styleId="48">
    <w:name w:val="采购文件1.1"/>
    <w:basedOn w:val="12"/>
    <w:qFormat/>
    <w:uiPriority w:val="0"/>
    <w:pPr>
      <w:numPr>
        <w:ilvl w:val="1"/>
        <w:numId w:val="1"/>
      </w:numPr>
      <w:spacing w:before="20" w:after="120" w:line="400" w:lineRule="exact"/>
      <w:ind w:left="360" w:hanging="360" w:hangingChars="200"/>
      <w:jc w:val="left"/>
    </w:pPr>
    <w:rPr>
      <w:rFonts w:hAnsi="宋体" w:eastAsia="仿宋_GB2312"/>
      <w:sz w:val="24"/>
    </w:rPr>
  </w:style>
  <w:style w:type="paragraph" w:customStyle="1" w:styleId="49">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null3"/>
    <w:qFormat/>
    <w:uiPriority w:val="0"/>
    <w:rPr>
      <w:rFonts w:hint="eastAsia" w:ascii="Calibri" w:hAnsi="Calibri" w:eastAsia="宋体" w:cs="Times New Roman"/>
      <w:lang w:val="en-US" w:eastAsia="zh-Hans" w:bidi="ar-SA"/>
    </w:rPr>
  </w:style>
  <w:style w:type="paragraph" w:customStyle="1" w:styleId="51">
    <w:name w:val="采购文件1."/>
    <w:basedOn w:val="4"/>
    <w:next w:val="1"/>
    <w:qFormat/>
    <w:uiPriority w:val="0"/>
    <w:pPr>
      <w:numPr>
        <w:ilvl w:val="0"/>
        <w:numId w:val="1"/>
      </w:numPr>
      <w:spacing w:line="240" w:lineRule="auto"/>
      <w:jc w:val="left"/>
    </w:pPr>
    <w:rPr>
      <w:rFonts w:ascii="仿宋_GB2312" w:hAnsi="仿宋_GB2312" w:eastAsia="仿宋_GB2312"/>
      <w:sz w:val="24"/>
    </w:rPr>
  </w:style>
  <w:style w:type="paragraph" w:customStyle="1" w:styleId="52">
    <w:name w:val="列出段落51"/>
    <w:basedOn w:val="1"/>
    <w:qFormat/>
    <w:uiPriority w:val="34"/>
    <w:pPr>
      <w:ind w:firstLine="420" w:firstLineChars="200"/>
    </w:pPr>
  </w:style>
  <w:style w:type="paragraph" w:customStyle="1" w:styleId="53">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正文_4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Table Paragraph"/>
    <w:basedOn w:val="1"/>
    <w:qFormat/>
    <w:uiPriority w:val="1"/>
    <w:rPr>
      <w:rFonts w:ascii="宋体" w:hAnsi="宋体" w:eastAsia="宋体" w:cs="宋体"/>
      <w:lang w:val="zh-CN" w:eastAsia="zh-CN" w:bidi="zh-CN"/>
    </w:rPr>
  </w:style>
  <w:style w:type="paragraph" w:customStyle="1" w:styleId="57">
    <w:name w:val="正文_2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9">
    <w:name w:val="样式 标题 1合同标题卷标题TITRE11h1标题 1 1标书1H11st levelSection Hea..."/>
    <w:basedOn w:val="2"/>
    <w:qFormat/>
    <w:uiPriority w:val="0"/>
    <w:pPr>
      <w:spacing w:before="40" w:beforeLines="0" w:after="40" w:afterLines="0" w:line="240" w:lineRule="auto"/>
    </w:pPr>
    <w:rPr>
      <w:kern w:val="0"/>
    </w:rPr>
  </w:style>
  <w:style w:type="paragraph" w:customStyle="1" w:styleId="60">
    <w:name w:val="正文0"/>
    <w:basedOn w:val="1"/>
    <w:qFormat/>
    <w:uiPriority w:val="0"/>
    <w:rPr>
      <w:szCs w:val="24"/>
    </w:rPr>
  </w:style>
  <w:style w:type="paragraph" w:customStyle="1" w:styleId="61">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62">
    <w:name w:val="样式1"/>
    <w:basedOn w:val="1"/>
    <w:qFormat/>
    <w:uiPriority w:val="0"/>
    <w:pPr>
      <w:spacing w:line="500" w:lineRule="exact"/>
      <w:jc w:val="center"/>
    </w:pPr>
    <w:rPr>
      <w:rFonts w:eastAsia="黑体"/>
      <w:b/>
      <w:bCs/>
      <w:sz w:val="44"/>
    </w:rPr>
  </w:style>
  <w:style w:type="paragraph" w:customStyle="1" w:styleId="63">
    <w:name w:val="样式 New"/>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4">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正文_22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正文 New New New New New New New New New New New New New New New New New New New New New New New New New New New New New New New New New New New New"/>
    <w:next w:val="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表格文字"/>
    <w:basedOn w:val="66"/>
    <w:next w:val="9"/>
    <w:qFormat/>
    <w:uiPriority w:val="0"/>
    <w:pPr>
      <w:spacing w:before="25" w:beforeLines="0" w:after="25" w:afterLines="0"/>
      <w:jc w:val="left"/>
    </w:pPr>
    <w:rPr>
      <w:bCs/>
      <w:spacing w:val="10"/>
      <w:kern w:val="0"/>
      <w:sz w:val="24"/>
      <w:szCs w:val="20"/>
    </w:rPr>
  </w:style>
  <w:style w:type="paragraph" w:customStyle="1" w:styleId="68">
    <w:name w:val="正文_5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列出段落1"/>
    <w:basedOn w:val="1"/>
    <w:qFormat/>
    <w:uiPriority w:val="99"/>
    <w:pPr>
      <w:ind w:firstLine="420" w:firstLineChars="200"/>
    </w:pPr>
  </w:style>
  <w:style w:type="paragraph" w:customStyle="1" w:styleId="70">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71">
    <w:name w:val="采购文件评审1."/>
    <w:basedOn w:val="1"/>
    <w:qFormat/>
    <w:uiPriority w:val="0"/>
    <w:pPr>
      <w:numPr>
        <w:ilvl w:val="0"/>
        <w:numId w:val="2"/>
      </w:numPr>
      <w:spacing w:before="20" w:after="20" w:line="400" w:lineRule="exact"/>
      <w:ind w:left="360" w:hanging="360" w:hangingChars="200"/>
      <w:jc w:val="left"/>
    </w:pPr>
    <w:rPr>
      <w:rFonts w:ascii="Times New Roman" w:hAnsi="Times New Roman" w:eastAsia="仿宋_GB2312"/>
      <w:sz w:val="24"/>
    </w:rPr>
  </w:style>
  <w:style w:type="paragraph" w:customStyle="1" w:styleId="72">
    <w:name w:val="正文_0"/>
    <w:qFormat/>
    <w:uiPriority w:val="0"/>
    <w:pPr>
      <w:widowControl w:val="0"/>
      <w:jc w:val="both"/>
    </w:pPr>
    <w:rPr>
      <w:rFonts w:ascii="Calibri" w:hAnsi="Calibri" w:eastAsia="宋体" w:cs="Calibri"/>
      <w:kern w:val="2"/>
      <w:sz w:val="21"/>
      <w:szCs w:val="21"/>
      <w:lang w:val="en-US" w:eastAsia="zh-CN" w:bidi="ar-SA"/>
    </w:rPr>
  </w:style>
  <w:style w:type="character" w:customStyle="1" w:styleId="73">
    <w:name w:val="hover"/>
    <w:qFormat/>
    <w:uiPriority w:val="0"/>
    <w:rPr>
      <w:shd w:val="clear" w:color="auto" w:fill="929292"/>
    </w:rPr>
  </w:style>
  <w:style w:type="character" w:customStyle="1" w:styleId="74">
    <w:name w:val="article-icon"/>
    <w:qFormat/>
    <w:uiPriority w:val="0"/>
  </w:style>
  <w:style w:type="paragraph" w:customStyle="1" w:styleId="75">
    <w:name w:val="正文_0_0_0"/>
    <w:basedOn w:val="64"/>
    <w:qFormat/>
    <w:uiPriority w:val="0"/>
    <w:rPr>
      <w:rFonts w:ascii="Times New Roman" w:hAnsi="Times New Roman"/>
      <w:color w:val="0000FF"/>
      <w:sz w:val="24"/>
      <w:szCs w:val="24"/>
    </w:rPr>
  </w:style>
  <w:style w:type="paragraph" w:customStyle="1" w:styleId="76">
    <w:name w:val="_Style 74"/>
    <w:unhideWhenUsed/>
    <w:qFormat/>
    <w:uiPriority w:val="99"/>
    <w:rPr>
      <w:rFonts w:ascii="Calibri" w:hAnsi="Calibri" w:eastAsia="宋体" w:cs="Times New Roman"/>
      <w:kern w:val="2"/>
      <w:sz w:val="21"/>
      <w:szCs w:val="24"/>
      <w:lang w:val="en-US" w:eastAsia="zh-CN" w:bidi="ar-SA"/>
    </w:rPr>
  </w:style>
  <w:style w:type="paragraph" w:customStyle="1" w:styleId="77">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正文_19"/>
    <w:qFormat/>
    <w:uiPriority w:val="0"/>
    <w:pPr>
      <w:widowControl w:val="0"/>
      <w:jc w:val="both"/>
    </w:pPr>
    <w:rPr>
      <w:rFonts w:ascii="Calibri" w:hAnsi="Calibri" w:eastAsia="宋体" w:cs="Times New Roman"/>
      <w:color w:val="0000FF"/>
      <w:kern w:val="2"/>
      <w:sz w:val="24"/>
      <w:szCs w:val="24"/>
      <w:lang w:val="en-US" w:eastAsia="zh-CN" w:bidi="ar-SA"/>
    </w:rPr>
  </w:style>
  <w:style w:type="paragraph" w:customStyle="1" w:styleId="79">
    <w:name w:val="正文_17_0"/>
    <w:qFormat/>
    <w:uiPriority w:val="0"/>
    <w:pPr>
      <w:widowControl w:val="0"/>
      <w:jc w:val="both"/>
    </w:pPr>
    <w:rPr>
      <w:rFonts w:ascii="Times New Roman" w:hAnsi="Times New Roman" w:eastAsia="宋体" w:cs="Times New Roman"/>
      <w:color w:val="0000FF"/>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9151</Words>
  <Characters>9991</Characters>
  <Lines>1547</Lines>
  <Paragraphs>1364</Paragraphs>
  <TotalTime>0</TotalTime>
  <ScaleCrop>false</ScaleCrop>
  <LinksUpToDate>false</LinksUpToDate>
  <CharactersWithSpaces>10224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2024-06-25T03:16:00Z</dcterms:created>
  <dc:creator>NTKO</dc:creator>
  <cp:lastModifiedBy>NTKO</cp:lastModifiedBy>
  <cp:lastPrinted>2025-07-24T02:02:00Z</cp:lastPrinted>
  <dcterms:modified xsi:type="dcterms:W3CDTF">2025-09-30T09:52:56Z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06CF40AA155C412583C879FBEEDC25DE_13</vt:lpwstr>
  </property>
  <property fmtid="{D5CDD505-2E9C-101B-9397-08002B2CF9AE}" pid="4" name="KSOTemplateDocerSaveRecord">
    <vt:lpwstr>eyJoZGlkIjoiMjQ4YTRiOWVlZDJmOWIxYjU2N2Q4MTYyMDgxNmI0OGQiLCJ1c2VySWQiOiI1Mjk3NTg5MjkifQ==</vt:lpwstr>
  </property>
</Properties>
</file>